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577D">
      <w:pPr>
        <w:pStyle w:val="3"/>
        <w:jc w:val="both"/>
        <w:rPr>
          <w:rFonts w:hint="default"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附件6</w:t>
      </w:r>
    </w:p>
    <w:p w14:paraId="30BB80BF">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57AF2EF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百万英才汇南粤-惠州市第一人民医院2025年</w:t>
      </w:r>
    </w:p>
    <w:p w14:paraId="39719AA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工作人员招聘报考指南</w:t>
      </w:r>
    </w:p>
    <w:p w14:paraId="4E91F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一、关于报名</w:t>
      </w:r>
    </w:p>
    <w:p w14:paraId="6DCC5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val="en-US" w:eastAsia="zh-CN"/>
        </w:rPr>
        <w:t>应聘人员在</w:t>
      </w:r>
      <w:r>
        <w:rPr>
          <w:rFonts w:hint="eastAsia" w:ascii="Times New Roman" w:hAnsi="Times New Roman" w:eastAsia="方正楷体_GBK" w:cs="Times New Roman"/>
          <w:color w:val="auto"/>
          <w:sz w:val="32"/>
          <w:szCs w:val="32"/>
          <w:lang w:val="en-US" w:eastAsia="zh-CN"/>
        </w:rPr>
        <w:t>报名系统</w:t>
      </w:r>
      <w:r>
        <w:rPr>
          <w:rFonts w:hint="default" w:ascii="Times New Roman" w:hAnsi="Times New Roman" w:eastAsia="方正楷体_GBK" w:cs="Times New Roman"/>
          <w:color w:val="auto"/>
          <w:sz w:val="32"/>
          <w:szCs w:val="32"/>
          <w:lang w:val="en-US" w:eastAsia="zh-CN"/>
        </w:rPr>
        <w:t>中填写报名信息应注意哪些事项？</w:t>
      </w:r>
    </w:p>
    <w:p w14:paraId="21865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应聘人员必须填写《</w:t>
      </w:r>
      <w:r>
        <w:rPr>
          <w:rFonts w:hint="eastAsia" w:ascii="方正仿宋_GBK" w:hAnsi="方正仿宋_GBK" w:eastAsia="方正仿宋_GBK" w:cs="方正仿宋_GBK"/>
          <w:bCs/>
          <w:color w:val="auto"/>
          <w:sz w:val="32"/>
          <w:szCs w:val="32"/>
          <w:lang w:val="en-US" w:eastAsia="zh-CN"/>
        </w:rPr>
        <w:t>惠州市第一人民医院2025年工作人员招聘（惠市一医 公招〔2025〕6号）报名表</w:t>
      </w:r>
      <w:r>
        <w:rPr>
          <w:rFonts w:hint="default" w:ascii="方正仿宋_GBK" w:hAnsi="方正仿宋_GBK" w:eastAsia="方正仿宋_GBK" w:cs="方正仿宋_GBK"/>
          <w:bCs/>
          <w:color w:val="auto"/>
          <w:sz w:val="32"/>
          <w:szCs w:val="32"/>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15399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（二）</w:t>
      </w:r>
      <w:r>
        <w:rPr>
          <w:rFonts w:hint="default" w:ascii="方正仿宋_GBK" w:hAnsi="方正仿宋_GBK" w:eastAsia="方正仿宋_GBK" w:cs="方正仿宋_GBK"/>
          <w:bCs/>
          <w:color w:val="auto"/>
          <w:sz w:val="32"/>
          <w:szCs w:val="32"/>
          <w:lang w:val="en-US" w:eastAsia="zh-CN"/>
        </w:rPr>
        <w:t>应聘人员在报名期间可否更改报考岗位？</w:t>
      </w:r>
    </w:p>
    <w:p w14:paraId="13EE93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报名期间，应聘人员</w:t>
      </w:r>
      <w:r>
        <w:rPr>
          <w:rFonts w:hint="eastAsia" w:ascii="方正仿宋_GBK" w:hAnsi="方正仿宋_GBK" w:eastAsia="方正仿宋_GBK" w:cs="方正仿宋_GBK"/>
          <w:bCs/>
          <w:color w:val="auto"/>
          <w:sz w:val="32"/>
          <w:szCs w:val="32"/>
          <w:lang w:val="en-US" w:eastAsia="zh-CN"/>
        </w:rPr>
        <w:t>应在报名系统中根据自身所学专业及工作经历选择合适岗位，报名系统一经提交，无法退回，原则上不得更改报考岗位</w:t>
      </w:r>
      <w:r>
        <w:rPr>
          <w:rFonts w:hint="default" w:ascii="方正仿宋_GBK" w:hAnsi="方正仿宋_GBK" w:eastAsia="方正仿宋_GBK" w:cs="方正仿宋_GBK"/>
          <w:bCs/>
          <w:color w:val="auto"/>
          <w:sz w:val="32"/>
          <w:szCs w:val="32"/>
          <w:lang w:val="en-US" w:eastAsia="zh-CN"/>
        </w:rPr>
        <w:t>。</w:t>
      </w:r>
    </w:p>
    <w:p w14:paraId="025AC2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应聘人员是否需要缴费？</w:t>
      </w:r>
    </w:p>
    <w:p w14:paraId="18887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本次工作人员招聘不收取费用，请应聘人员提高警惕，谨防上当受骗。</w:t>
      </w:r>
    </w:p>
    <w:p w14:paraId="330CA8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p>
    <w:p w14:paraId="67ACF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二、关于招聘对象</w:t>
      </w:r>
    </w:p>
    <w:p w14:paraId="0CC4AB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（一）</w:t>
      </w:r>
      <w:r>
        <w:rPr>
          <w:rFonts w:hint="default" w:ascii="方正仿宋_GBK" w:hAnsi="方正仿宋_GBK" w:eastAsia="方正仿宋_GBK" w:cs="方正仿宋_GBK"/>
          <w:bCs/>
          <w:color w:val="auto"/>
          <w:sz w:val="32"/>
          <w:szCs w:val="32"/>
          <w:lang w:val="en-US" w:eastAsia="zh-CN"/>
        </w:rPr>
        <w:t>哪些人员可以报考</w:t>
      </w:r>
      <w:r>
        <w:rPr>
          <w:rFonts w:hint="eastAsia" w:ascii="方正仿宋_GBK" w:hAnsi="方正仿宋_GBK" w:eastAsia="方正仿宋_GBK" w:cs="方正仿宋_GBK"/>
          <w:bCs/>
          <w:color w:val="auto"/>
          <w:sz w:val="32"/>
          <w:szCs w:val="32"/>
          <w:lang w:val="en-US" w:eastAsia="zh-CN"/>
        </w:rPr>
        <w:t>应聘人员</w:t>
      </w:r>
      <w:r>
        <w:rPr>
          <w:rFonts w:hint="default" w:ascii="方正仿宋_GBK" w:hAnsi="方正仿宋_GBK" w:eastAsia="方正仿宋_GBK" w:cs="方正仿宋_GBK"/>
          <w:bCs/>
          <w:color w:val="auto"/>
          <w:sz w:val="32"/>
          <w:szCs w:val="32"/>
          <w:lang w:val="en-US" w:eastAsia="zh-CN"/>
        </w:rPr>
        <w:t>类别条件为“应届毕业生”的岗位？</w:t>
      </w:r>
    </w:p>
    <w:p w14:paraId="2389B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1.</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届普通高校毕业生（非在职）。</w:t>
      </w:r>
    </w:p>
    <w:p w14:paraId="5BDF6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 w:eastAsia="zh-CN"/>
        </w:rPr>
      </w:pPr>
      <w:r>
        <w:rPr>
          <w:rFonts w:hint="eastAsia" w:ascii="方正仿宋_GBK" w:hAnsi="方正仿宋_GBK" w:eastAsia="方正仿宋_GBK" w:cs="方正仿宋_GBK"/>
          <w:bCs/>
          <w:color w:val="auto"/>
          <w:sz w:val="32"/>
          <w:szCs w:val="32"/>
          <w:lang w:val="en-US" w:eastAsia="zh-CN"/>
        </w:rPr>
        <w:t>2.</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2024、2025</w:t>
      </w:r>
      <w:r>
        <w:rPr>
          <w:rFonts w:hint="default" w:ascii="方正仿宋_GBK" w:hAnsi="方正仿宋_GBK" w:eastAsia="方正仿宋_GBK" w:cs="方正仿宋_GBK"/>
          <w:bCs/>
          <w:color w:val="auto"/>
          <w:sz w:val="32"/>
          <w:szCs w:val="32"/>
          <w:lang w:val="en-US" w:eastAsia="zh-CN"/>
        </w:rPr>
        <w:t>届普通高校毕业生（非在职）</w:t>
      </w:r>
      <w:r>
        <w:rPr>
          <w:rFonts w:hint="default" w:ascii="方正仿宋_GBK" w:hAnsi="方正仿宋_GBK" w:eastAsia="方正仿宋_GBK" w:cs="方正仿宋_GBK"/>
          <w:bCs/>
          <w:color w:val="auto"/>
          <w:sz w:val="32"/>
          <w:szCs w:val="32"/>
          <w:lang w:val="en" w:eastAsia="zh-CN"/>
        </w:rPr>
        <w:t>未落实工作单位的人员。</w:t>
      </w:r>
    </w:p>
    <w:p w14:paraId="5456F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FF0000"/>
          <w:sz w:val="32"/>
          <w:szCs w:val="32"/>
          <w:lang w:val="en-US" w:eastAsia="zh-CN"/>
        </w:rPr>
        <w:t>2024</w:t>
      </w:r>
      <w:r>
        <w:rPr>
          <w:rFonts w:hint="default" w:ascii="方正仿宋_GBK" w:hAnsi="方正仿宋_GBK" w:eastAsia="方正仿宋_GBK" w:cs="方正仿宋_GBK"/>
          <w:bCs/>
          <w:color w:val="FF0000"/>
          <w:sz w:val="32"/>
          <w:szCs w:val="32"/>
          <w:lang w:val="en-US" w:eastAsia="zh-CN"/>
        </w:rPr>
        <w:t>年1月1日</w:t>
      </w:r>
      <w:r>
        <w:rPr>
          <w:rFonts w:hint="default" w:ascii="方正仿宋_GBK" w:hAnsi="方正仿宋_GBK" w:eastAsia="方正仿宋_GBK" w:cs="方正仿宋_GBK"/>
          <w:bCs/>
          <w:color w:val="auto"/>
          <w:sz w:val="32"/>
          <w:szCs w:val="32"/>
          <w:lang w:val="en-US" w:eastAsia="zh-CN"/>
        </w:rPr>
        <w:t>至</w:t>
      </w:r>
      <w:r>
        <w:rPr>
          <w:rFonts w:hint="default" w:ascii="方正仿宋_GBK" w:hAnsi="方正仿宋_GBK" w:eastAsia="方正仿宋_GBK" w:cs="方正仿宋_GBK"/>
          <w:bCs/>
          <w:color w:val="auto"/>
          <w:sz w:val="32"/>
          <w:szCs w:val="32"/>
          <w:lang w:val="en" w:eastAsia="zh-CN"/>
        </w:rPr>
        <w:t>报名首日</w:t>
      </w:r>
      <w:r>
        <w:rPr>
          <w:rFonts w:hint="default" w:ascii="方正仿宋_GBK" w:hAnsi="方正仿宋_GBK" w:eastAsia="方正仿宋_GBK" w:cs="方正仿宋_GBK"/>
          <w:bCs/>
          <w:color w:val="auto"/>
          <w:sz w:val="32"/>
          <w:szCs w:val="32"/>
          <w:lang w:val="en-US" w:eastAsia="zh-CN"/>
        </w:rPr>
        <w:t>期间取得国（境）外学历学位</w:t>
      </w:r>
      <w:r>
        <w:rPr>
          <w:rFonts w:hint="default" w:ascii="方正仿宋_GBK" w:hAnsi="方正仿宋_GBK" w:eastAsia="方正仿宋_GBK" w:cs="方正仿宋_GBK"/>
          <w:bCs/>
          <w:color w:val="auto"/>
          <w:sz w:val="32"/>
          <w:szCs w:val="32"/>
          <w:lang w:val="en" w:eastAsia="zh-CN"/>
        </w:rPr>
        <w:t>且未落实工作单位的</w:t>
      </w:r>
      <w:r>
        <w:rPr>
          <w:rFonts w:hint="default" w:ascii="方正仿宋_GBK" w:hAnsi="方正仿宋_GBK" w:eastAsia="方正仿宋_GBK" w:cs="方正仿宋_GBK"/>
          <w:bCs/>
          <w:color w:val="auto"/>
          <w:sz w:val="32"/>
          <w:szCs w:val="32"/>
          <w:lang w:val="en-US" w:eastAsia="zh-CN"/>
        </w:rPr>
        <w:t>留学回国人员，并在规定时间内完成教育部门认证。</w:t>
      </w:r>
    </w:p>
    <w:p w14:paraId="057C2DF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FF0000"/>
          <w:sz w:val="32"/>
          <w:szCs w:val="32"/>
          <w:lang w:val="en-US" w:eastAsia="zh-CN"/>
        </w:rPr>
      </w:pPr>
      <w:r>
        <w:rPr>
          <w:rFonts w:hint="eastAsia" w:ascii="方正仿宋_GBK" w:hAnsi="方正仿宋_GBK" w:eastAsia="方正仿宋_GBK" w:cs="方正仿宋_GBK"/>
          <w:bCs/>
          <w:color w:val="FF0000"/>
          <w:sz w:val="32"/>
          <w:szCs w:val="32"/>
          <w:lang w:val="en-US" w:eastAsia="zh-CN"/>
        </w:rPr>
        <w:t>4.</w:t>
      </w:r>
      <w:r>
        <w:rPr>
          <w:rFonts w:hint="default" w:ascii="方正仿宋_GBK" w:hAnsi="方正仿宋_GBK" w:eastAsia="方正仿宋_GBK" w:cs="方正仿宋_GBK"/>
          <w:bCs/>
          <w:color w:val="FF0000"/>
          <w:sz w:val="32"/>
          <w:szCs w:val="32"/>
          <w:lang w:val="en-US" w:eastAsia="zh-CN"/>
        </w:rPr>
        <w:t>面向社会招收的住院医师如为普通高校应届毕业生的，其住培合格当年在医疗卫生机构就业，按当年应届毕业生同等对待</w:t>
      </w:r>
      <w:r>
        <w:rPr>
          <w:rFonts w:hint="eastAsia" w:ascii="方正仿宋_GBK" w:hAnsi="方正仿宋_GBK" w:eastAsia="方正仿宋_GBK" w:cs="方正仿宋_GBK"/>
          <w:bCs/>
          <w:color w:val="FF0000"/>
          <w:sz w:val="32"/>
          <w:szCs w:val="32"/>
          <w:lang w:val="en-US" w:eastAsia="zh-CN"/>
        </w:rPr>
        <w:t>。</w:t>
      </w:r>
    </w:p>
    <w:p w14:paraId="2E14923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bCs/>
          <w:color w:val="FF0000"/>
          <w:sz w:val="32"/>
          <w:szCs w:val="32"/>
          <w:lang w:val="en-US" w:eastAsia="zh-CN"/>
        </w:rPr>
      </w:pPr>
      <w:r>
        <w:rPr>
          <w:rFonts w:hint="eastAsia" w:ascii="方正仿宋_GBK" w:hAnsi="方正仿宋_GBK" w:eastAsia="方正仿宋_GBK" w:cs="方正仿宋_GBK"/>
          <w:bCs/>
          <w:color w:val="FF0000"/>
          <w:sz w:val="32"/>
          <w:szCs w:val="32"/>
          <w:lang w:val="en-US" w:eastAsia="zh-CN"/>
        </w:rPr>
        <w:t>5.</w:t>
      </w:r>
      <w:r>
        <w:rPr>
          <w:rFonts w:hint="default" w:ascii="方正仿宋_GBK" w:hAnsi="方正仿宋_GBK" w:eastAsia="方正仿宋_GBK" w:cs="方正仿宋_GBK"/>
          <w:bCs/>
          <w:color w:val="FF0000"/>
          <w:sz w:val="32"/>
          <w:szCs w:val="32"/>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方正仿宋_GBK" w:hAnsi="方正仿宋_GBK" w:eastAsia="方正仿宋_GBK" w:cs="方正仿宋_GBK"/>
          <w:bCs/>
          <w:color w:val="FF0000"/>
          <w:sz w:val="32"/>
          <w:szCs w:val="32"/>
          <w:lang w:val="en-US" w:eastAsia="zh-CN"/>
        </w:rPr>
        <w:t>。</w:t>
      </w:r>
    </w:p>
    <w:p w14:paraId="57F6E4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二</w:t>
      </w: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年毕业的定向生、委培生是否可以报考？</w:t>
      </w:r>
    </w:p>
    <w:p w14:paraId="03B6B01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年毕业的定向生、委培生原则上不得报考。</w:t>
      </w:r>
    </w:p>
    <w:p w14:paraId="07AC1A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三、关于学历、学位</w:t>
      </w:r>
    </w:p>
    <w:p w14:paraId="38A1B4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一</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怎样理解招聘岗位中的“学历”、“学位”条件？</w:t>
      </w:r>
    </w:p>
    <w:p w14:paraId="5B5ADBF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应聘人员应具备与招聘岗位要求一致的学历、学位。招聘岗位没有学位要求的，应聘人员是否取得学位不影响报考。</w:t>
      </w:r>
    </w:p>
    <w:p w14:paraId="693A5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二</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应聘人员可否用非最高学历专业报考？</w:t>
      </w:r>
    </w:p>
    <w:p w14:paraId="5ECE873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类别条件为“应届毕业生”的，应聘人员不得以非最高学历专业报考，必须以最高学历专业报考。</w:t>
      </w:r>
    </w:p>
    <w:p w14:paraId="69F478B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类别条件为“不限”</w:t>
      </w:r>
      <w:r>
        <w:rPr>
          <w:rFonts w:hint="eastAsia" w:ascii="Times New Roman" w:hAnsi="Times New Roman" w:eastAsia="仿宋_GB2312" w:cs="Times New Roman"/>
          <w:color w:val="auto"/>
          <w:kern w:val="0"/>
          <w:sz w:val="32"/>
          <w:szCs w:val="32"/>
          <w:highlight w:val="none"/>
          <w:u w:val="none"/>
          <w:lang w:val="en-US" w:eastAsia="zh-CN"/>
        </w:rPr>
        <w:t>或“社会人士”</w:t>
      </w:r>
      <w:r>
        <w:rPr>
          <w:rFonts w:hint="default" w:ascii="Times New Roman" w:hAnsi="Times New Roman" w:eastAsia="仿宋_GB2312" w:cs="Times New Roman"/>
          <w:color w:val="auto"/>
          <w:kern w:val="0"/>
          <w:sz w:val="32"/>
          <w:szCs w:val="32"/>
          <w:highlight w:val="none"/>
          <w:u w:val="none"/>
          <w:lang w:val="en-US" w:eastAsia="zh-CN"/>
        </w:rPr>
        <w:t>的，应聘人员可以非最高学历专业报考。</w:t>
      </w:r>
    </w:p>
    <w:p w14:paraId="3538FC6F">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7006922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以非最高学历专业报考的其他要求？</w:t>
      </w:r>
    </w:p>
    <w:p w14:paraId="3F0289D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届在境内就读的中外合作办学毕业生（非在职）以非最高学历专业报考的，在资格复审时提供有效的应届毕业生材料，但须于</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5A22A9E5">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四</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取得国（境）外学历、学位人员需要提供哪些材料？</w:t>
      </w:r>
    </w:p>
    <w:p w14:paraId="380344B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需提供由国家教育部所属相关机构出具的国（境）外学历、学位认证函等有关证明材料。</w:t>
      </w:r>
    </w:p>
    <w:p w14:paraId="1D45F07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上述材料应在资格复审时与其他材料一并交招聘单位审查。</w:t>
      </w:r>
    </w:p>
    <w:p w14:paraId="27455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四、关于专业</w:t>
      </w:r>
    </w:p>
    <w:p w14:paraId="65172A1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一</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应聘人员应如何判断本人所学专业？</w:t>
      </w:r>
    </w:p>
    <w:p w14:paraId="2D277E4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应聘人员所学专业按所获毕业证书上的专业为准。辅修专业、学位种类均不作为专业依据。</w:t>
      </w:r>
    </w:p>
    <w:p w14:paraId="7DD2F4E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二</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应聘人员应如何选择专业报考？</w:t>
      </w:r>
    </w:p>
    <w:p w14:paraId="2C55EE2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01BDB41E">
      <w:pPr>
        <w:pStyle w:val="5"/>
        <w:keepNext w:val="0"/>
        <w:keepLines w:val="0"/>
        <w:pageBreakBefore w:val="0"/>
        <w:widowControl w:val="0"/>
        <w:numPr>
          <w:ilvl w:val="0"/>
          <w:numId w:val="0"/>
        </w:numPr>
        <w:kinsoku/>
        <w:wordWrap/>
        <w:overflowPunct/>
        <w:topLinePunct w:val="0"/>
        <w:autoSpaceDE/>
        <w:autoSpaceDN/>
        <w:bidi w:val="0"/>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A8716D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应聘人员以相近专业报考有什么要求？</w:t>
      </w:r>
    </w:p>
    <w:p w14:paraId="446C19D1">
      <w:pPr>
        <w:keepNext w:val="0"/>
        <w:keepLines w:val="0"/>
        <w:pageBreakBefore w:val="0"/>
        <w:widowControl w:val="0"/>
        <w:suppressLineNumbers w:val="0"/>
        <w:kinsoku/>
        <w:wordWrap/>
        <w:overflowPunct/>
        <w:topLinePunct w:val="0"/>
        <w:autoSpaceDE/>
        <w:autoSpaceDN/>
        <w:bidi w:val="0"/>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434C7F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4CB85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612B5EB2">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四</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应聘人员专业中有培养方向的如何报考？</w:t>
      </w:r>
    </w:p>
    <w:p w14:paraId="5CFFE1B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 xml:space="preserve">  </w:t>
      </w:r>
      <w:r>
        <w:rPr>
          <w:rFonts w:hint="default" w:ascii="Times New Roman" w:hAnsi="Times New Roman" w:eastAsia="仿宋_GB2312" w:cs="Times New Roman"/>
          <w:kern w:val="0"/>
          <w:sz w:val="32"/>
          <w:szCs w:val="32"/>
          <w:highlight w:val="none"/>
          <w:u w:val="none"/>
          <w:lang w:eastAsia="zh-CN"/>
        </w:rPr>
        <w:t>对含有两个以上培养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方向的专业，如招聘岗位已明确具体培养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方向的，应聘人员须符合具体培养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方向方可报考。如《公务员专业目录》中的“</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w:t>
      </w:r>
      <w:r>
        <w:rPr>
          <w:rFonts w:hint="default" w:ascii="Times New Roman" w:hAnsi="Times New Roman" w:eastAsia="仿宋_GB2312" w:cs="Times New Roman"/>
          <w:kern w:val="0"/>
          <w:sz w:val="32"/>
          <w:szCs w:val="32"/>
          <w:highlight w:val="none"/>
          <w:u w:val="none"/>
          <w:lang w:eastAsia="zh-CN"/>
        </w:rPr>
        <w:t>）”，某岗位</w:t>
      </w:r>
      <w:r>
        <w:rPr>
          <w:rFonts w:hint="eastAsia" w:ascii="Times New Roman" w:hAnsi="Times New Roman" w:eastAsia="仿宋_GB2312" w:cs="Times New Roman"/>
          <w:kern w:val="0"/>
          <w:sz w:val="32"/>
          <w:szCs w:val="32"/>
          <w:highlight w:val="none"/>
          <w:u w:val="none"/>
          <w:lang w:val="en-US" w:eastAsia="zh-CN"/>
        </w:rPr>
        <w:t>条件</w:t>
      </w:r>
      <w:r>
        <w:rPr>
          <w:rFonts w:hint="default" w:ascii="Times New Roman" w:hAnsi="Times New Roman" w:eastAsia="仿宋_GB2312" w:cs="Times New Roman"/>
          <w:kern w:val="0"/>
          <w:sz w:val="32"/>
          <w:szCs w:val="32"/>
          <w:highlight w:val="none"/>
          <w:u w:val="none"/>
          <w:lang w:eastAsia="zh-CN"/>
        </w:rPr>
        <w:t>设置为“</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100210）-神经外科方向</w:t>
      </w:r>
      <w:r>
        <w:rPr>
          <w:rFonts w:hint="default" w:ascii="Times New Roman" w:hAnsi="Times New Roman" w:eastAsia="仿宋_GB2312" w:cs="Times New Roman"/>
          <w:kern w:val="0"/>
          <w:sz w:val="32"/>
          <w:szCs w:val="32"/>
          <w:highlight w:val="none"/>
          <w:u w:val="none"/>
          <w:lang w:eastAsia="zh-CN"/>
        </w:rPr>
        <w:t>”，则此专业中</w:t>
      </w:r>
      <w:r>
        <w:rPr>
          <w:rFonts w:hint="eastAsia" w:ascii="Times New Roman" w:hAnsi="Times New Roman" w:eastAsia="仿宋_GB2312" w:cs="Times New Roman"/>
          <w:kern w:val="0"/>
          <w:sz w:val="32"/>
          <w:szCs w:val="32"/>
          <w:highlight w:val="none"/>
          <w:u w:val="none"/>
          <w:lang w:val="en-US" w:eastAsia="zh-CN"/>
        </w:rPr>
        <w:t>神经外科</w:t>
      </w:r>
      <w:r>
        <w:rPr>
          <w:rFonts w:hint="default" w:ascii="Times New Roman" w:hAnsi="Times New Roman" w:eastAsia="仿宋_GB2312" w:cs="Times New Roman"/>
          <w:kern w:val="0"/>
          <w:sz w:val="32"/>
          <w:szCs w:val="32"/>
          <w:highlight w:val="none"/>
          <w:u w:val="none"/>
          <w:lang w:eastAsia="zh-CN"/>
        </w:rPr>
        <w:t>方向的应聘人员方可报考，</w:t>
      </w:r>
      <w:r>
        <w:rPr>
          <w:rFonts w:hint="eastAsia" w:ascii="Times New Roman" w:hAnsi="Times New Roman" w:eastAsia="仿宋_GB2312" w:cs="Times New Roman"/>
          <w:kern w:val="0"/>
          <w:sz w:val="32"/>
          <w:szCs w:val="32"/>
          <w:highlight w:val="none"/>
          <w:u w:val="none"/>
          <w:lang w:val="en-US" w:eastAsia="zh-CN"/>
        </w:rPr>
        <w:t>胃肠外科、甲状腺外科等其他专业</w:t>
      </w:r>
      <w:r>
        <w:rPr>
          <w:rFonts w:hint="default" w:ascii="Times New Roman" w:hAnsi="Times New Roman" w:eastAsia="仿宋_GB2312" w:cs="Times New Roman"/>
          <w:kern w:val="0"/>
          <w:sz w:val="32"/>
          <w:szCs w:val="32"/>
          <w:highlight w:val="none"/>
          <w:u w:val="none"/>
          <w:lang w:eastAsia="zh-CN"/>
        </w:rPr>
        <w:t>方向的不可报考。</w:t>
      </w:r>
    </w:p>
    <w:p w14:paraId="0D3DB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五</w:t>
      </w:r>
      <w:r>
        <w:rPr>
          <w:rFonts w:hint="default" w:ascii="方正黑体_GBK" w:hAnsi="方正黑体_GBK" w:eastAsia="方正黑体_GBK" w:cs="方正黑体_GBK"/>
          <w:b w:val="0"/>
          <w:bCs w:val="0"/>
          <w:color w:val="auto"/>
          <w:sz w:val="32"/>
          <w:szCs w:val="32"/>
          <w:lang w:val="en-US" w:eastAsia="zh-CN"/>
        </w:rPr>
        <w:t>、关于港澳居民报考</w:t>
      </w:r>
    </w:p>
    <w:p w14:paraId="7E76C31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哪些港澳居民可以报考？</w:t>
      </w:r>
    </w:p>
    <w:p w14:paraId="6B628F4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港澳居民同时符合以下条件的可报考：</w:t>
      </w:r>
    </w:p>
    <w:p w14:paraId="41554E7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根据《广东省人力资源和社会保障厅粤港澳大湾区（内地）事业单位公开招聘港澳居民管理办法》规定，香港特别行政区、澳门特别行政区永久性居民中无外国居留权的港澳居民；</w:t>
      </w:r>
    </w:p>
    <w:p w14:paraId="32EA72B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具备《广东省人力资源和社会保障厅粤港澳大湾区（内地）事业单位公开招聘港澳居民管理办法》第五条所列条件。</w:t>
      </w:r>
    </w:p>
    <w:p w14:paraId="14D274F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（二）</w:t>
      </w:r>
      <w:r>
        <w:rPr>
          <w:rFonts w:hint="default" w:ascii="Times New Roman" w:hAnsi="Times New Roman" w:eastAsia="仿宋_GB2312" w:cs="Times New Roman"/>
          <w:kern w:val="0"/>
          <w:sz w:val="32"/>
          <w:szCs w:val="32"/>
          <w:highlight w:val="none"/>
          <w:u w:val="none"/>
          <w:lang w:val="en-US" w:eastAsia="zh-CN"/>
        </w:rPr>
        <w:t>港澳居民在资格</w:t>
      </w:r>
      <w:r>
        <w:rPr>
          <w:rFonts w:hint="eastAsia" w:ascii="Times New Roman" w:hAnsi="Times New Roman" w:eastAsia="仿宋_GB2312" w:cs="Times New Roman"/>
          <w:kern w:val="0"/>
          <w:sz w:val="32"/>
          <w:szCs w:val="32"/>
          <w:highlight w:val="none"/>
          <w:u w:val="none"/>
          <w:lang w:val="en-US" w:eastAsia="zh-CN"/>
        </w:rPr>
        <w:t>初审、</w:t>
      </w:r>
      <w:r>
        <w:rPr>
          <w:rFonts w:hint="default" w:ascii="Times New Roman" w:hAnsi="Times New Roman" w:eastAsia="仿宋_GB2312" w:cs="Times New Roman"/>
          <w:kern w:val="0"/>
          <w:sz w:val="32"/>
          <w:szCs w:val="32"/>
          <w:highlight w:val="none"/>
          <w:u w:val="none"/>
          <w:lang w:val="en-US" w:eastAsia="zh-CN"/>
        </w:rPr>
        <w:t>复审时还需提供哪些材料？</w:t>
      </w:r>
    </w:p>
    <w:p w14:paraId="00875B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香港永久性居民身份证或澳门永久性居民身份证；</w:t>
      </w:r>
    </w:p>
    <w:p w14:paraId="7F84764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港澳居民来往内地通行证；</w:t>
      </w:r>
    </w:p>
    <w:p w14:paraId="1A213B65">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港澳地区《无犯罪纪（记）录》（可在考察环节提供）。</w:t>
      </w:r>
    </w:p>
    <w:p w14:paraId="1090AA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六</w:t>
      </w:r>
      <w:r>
        <w:rPr>
          <w:rFonts w:hint="default" w:ascii="方正黑体_GBK" w:hAnsi="方正黑体_GBK" w:eastAsia="方正黑体_GBK" w:cs="方正黑体_GBK"/>
          <w:b w:val="0"/>
          <w:bCs w:val="0"/>
          <w:color w:val="auto"/>
          <w:sz w:val="32"/>
          <w:szCs w:val="32"/>
          <w:lang w:val="en-US" w:eastAsia="zh-CN"/>
        </w:rPr>
        <w:t>、关于年龄和工作经历</w:t>
      </w:r>
    </w:p>
    <w:p w14:paraId="7383E06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招聘岗位年龄条件的计算截止时间？</w:t>
      </w:r>
    </w:p>
    <w:p w14:paraId="4918C1B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35周岁及以下</w:t>
      </w:r>
      <w:r>
        <w:rPr>
          <w:rFonts w:hint="default" w:ascii="Times New Roman" w:hAnsi="Times New Roman" w:eastAsia="仿宋_GB2312" w:cs="Times New Roman"/>
          <w:b w:val="0"/>
          <w:bCs w:val="0"/>
          <w:color w:val="auto"/>
          <w:kern w:val="0"/>
          <w:sz w:val="32"/>
          <w:szCs w:val="32"/>
          <w:highlight w:val="none"/>
          <w:u w:val="none"/>
          <w:lang w:val="en-US" w:eastAsia="zh-CN"/>
        </w:rPr>
        <w:t>，即为1989年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ascii="Times New Roman" w:hAnsi="Times New Roman" w:eastAsia="仿宋_GB2312" w:cs="Times New Roman"/>
          <w:b w:val="0"/>
          <w:bCs w:val="0"/>
          <w:color w:val="auto"/>
          <w:kern w:val="0"/>
          <w:sz w:val="32"/>
          <w:szCs w:val="32"/>
          <w:highlight w:val="none"/>
          <w:u w:val="none"/>
          <w:lang w:val="en-US" w:eastAsia="zh-CN"/>
        </w:rPr>
        <w:t>及之后</w:t>
      </w:r>
      <w:r>
        <w:rPr>
          <w:rFonts w:hint="default" w:ascii="Times New Roman" w:hAnsi="Times New Roman" w:eastAsia="仿宋_GB2312" w:cs="Times New Roman"/>
          <w:b w:val="0"/>
          <w:bCs w:val="0"/>
          <w:color w:val="auto"/>
          <w:kern w:val="0"/>
          <w:sz w:val="32"/>
          <w:szCs w:val="32"/>
          <w:highlight w:val="none"/>
          <w:u w:val="none"/>
          <w:lang w:val="en-US" w:eastAsia="zh-CN"/>
        </w:rPr>
        <w:t>出生的；40周岁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，即为1984年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日以后出生的；45周岁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，即为1979年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bookmarkStart w:id="0" w:name="_GoBack"/>
      <w:bookmarkEnd w:id="0"/>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14:paraId="3DDC4530">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如何理解“具有2年</w:t>
      </w:r>
      <w:r>
        <w:rPr>
          <w:rFonts w:hint="eastAsia" w:ascii="Times New Roman" w:hAnsi="Times New Roman" w:eastAsia="仿宋_GB2312" w:cs="Times New Roman"/>
          <w:kern w:val="0"/>
          <w:sz w:val="32"/>
          <w:szCs w:val="32"/>
          <w:highlight w:val="none"/>
          <w:u w:val="none"/>
          <w:lang w:val="en-US" w:eastAsia="zh-CN"/>
        </w:rPr>
        <w:t>及</w:t>
      </w:r>
      <w:r>
        <w:rPr>
          <w:rFonts w:hint="default" w:ascii="Times New Roman" w:hAnsi="Times New Roman" w:eastAsia="仿宋_GB2312" w:cs="Times New Roman"/>
          <w:kern w:val="0"/>
          <w:sz w:val="32"/>
          <w:szCs w:val="32"/>
          <w:highlight w:val="none"/>
          <w:u w:val="none"/>
          <w:lang w:val="en-US" w:eastAsia="zh-CN"/>
        </w:rPr>
        <w:t>以上相关工作经历”？</w:t>
      </w:r>
    </w:p>
    <w:p w14:paraId="01FAA9A1">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以上相关工作经历”的，应聘人员应具有与招聘岗位工作职责“从事……工作”相关的工作经历满2年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以上，方可报考。</w:t>
      </w:r>
    </w:p>
    <w:p w14:paraId="2EBD913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14:paraId="0A6C8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七</w:t>
      </w:r>
      <w:r>
        <w:rPr>
          <w:rFonts w:hint="default" w:ascii="方正黑体_GBK" w:hAnsi="方正黑体_GBK" w:eastAsia="方正黑体_GBK" w:cs="方正黑体_GBK"/>
          <w:b w:val="0"/>
          <w:bCs w:val="0"/>
          <w:color w:val="auto"/>
          <w:sz w:val="32"/>
          <w:szCs w:val="32"/>
          <w:lang w:val="en-US" w:eastAsia="zh-CN"/>
        </w:rPr>
        <w:t>、关于资格审查</w:t>
      </w:r>
    </w:p>
    <w:p w14:paraId="2500532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资格审查的时间节点包括哪些？</w:t>
      </w:r>
    </w:p>
    <w:p w14:paraId="5E72C75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531E2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八</w:t>
      </w:r>
      <w:r>
        <w:rPr>
          <w:rFonts w:hint="default" w:ascii="方正黑体_GBK" w:hAnsi="方正黑体_GBK" w:eastAsia="方正黑体_GBK" w:cs="方正黑体_GBK"/>
          <w:b w:val="0"/>
          <w:bCs w:val="0"/>
          <w:color w:val="auto"/>
          <w:sz w:val="32"/>
          <w:szCs w:val="32"/>
          <w:lang w:val="en-US" w:eastAsia="zh-CN"/>
        </w:rPr>
        <w:t>、关于体检</w:t>
      </w:r>
    </w:p>
    <w:p w14:paraId="2BFC2F5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体检标准、工作要求和程序等怎么确定？</w:t>
      </w:r>
    </w:p>
    <w:p w14:paraId="3D5A8BD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体检标准、工作要求和程序、工作纪律</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《广东省教师资格申请人员体格检查标准（2013年修订）》执行。</w:t>
      </w:r>
    </w:p>
    <w:p w14:paraId="265874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哪些情况可复检，复检程序是什么？</w:t>
      </w:r>
    </w:p>
    <w:p w14:paraId="4A8D7E5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62F61A5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36EDBC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F2BBC-E16F-4438-B0EE-5E870E0775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89B02E-E01E-40CE-9971-79DD9C8A97BF}"/>
  </w:font>
  <w:font w:name="仿宋_GB2312">
    <w:altName w:val="仿宋"/>
    <w:panose1 w:val="02010609030101010101"/>
    <w:charset w:val="86"/>
    <w:family w:val="auto"/>
    <w:pitch w:val="default"/>
    <w:sig w:usb0="00000000" w:usb1="00000000" w:usb2="00000000" w:usb3="00000000" w:csb0="00040000" w:csb1="00000000"/>
    <w:embedRegular r:id="rId3" w:fontKey="{14BC8491-2C74-405E-BC91-959D1F2EBE7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32745D67-749D-4FA0-9513-9B7787F00A7E}"/>
  </w:font>
  <w:font w:name="方正小标宋简体">
    <w:altName w:val="黑体"/>
    <w:panose1 w:val="02000000000000000000"/>
    <w:charset w:val="86"/>
    <w:family w:val="auto"/>
    <w:pitch w:val="default"/>
    <w:sig w:usb0="00000000" w:usb1="00000000" w:usb2="00000012" w:usb3="00000000" w:csb0="00040001" w:csb1="00000000"/>
    <w:embedRegular r:id="rId5" w:fontKey="{197C5708-6F1C-4259-B19A-9CE82D225BAB}"/>
  </w:font>
  <w:font w:name="方正小标宋_GBK">
    <w:panose1 w:val="02000000000000000000"/>
    <w:charset w:val="86"/>
    <w:family w:val="auto"/>
    <w:pitch w:val="default"/>
    <w:sig w:usb0="A00002BF" w:usb1="38CF7CFA" w:usb2="00082016" w:usb3="00000000" w:csb0="00040001" w:csb1="00000000"/>
    <w:embedRegular r:id="rId6" w:fontKey="{0A280549-EF13-45CF-8BF2-65EB287C8AD0}"/>
  </w:font>
  <w:font w:name="方正黑体_GBK">
    <w:panose1 w:val="02010600010101010101"/>
    <w:charset w:val="86"/>
    <w:family w:val="auto"/>
    <w:pitch w:val="default"/>
    <w:sig w:usb0="00000001" w:usb1="080E0000" w:usb2="00000000" w:usb3="00000000" w:csb0="00040000" w:csb1="00000000"/>
    <w:embedRegular r:id="rId7" w:fontKey="{DDAED91C-387C-4DCE-8D78-F3B75BAEEA56}"/>
  </w:font>
  <w:font w:name="方正楷体_GBK">
    <w:panose1 w:val="02000000000000000000"/>
    <w:charset w:val="86"/>
    <w:family w:val="auto"/>
    <w:pitch w:val="default"/>
    <w:sig w:usb0="800002BF" w:usb1="38CF7CFA" w:usb2="00000016" w:usb3="00000000" w:csb0="00040000" w:csb1="00000000"/>
    <w:embedRegular r:id="rId8" w:fontKey="{EA9B537A-29C3-40FF-887A-76E511F9600D}"/>
  </w:font>
  <w:font w:name="楷体_GB2312">
    <w:altName w:val="楷体"/>
    <w:panose1 w:val="02010609030101010101"/>
    <w:charset w:val="86"/>
    <w:family w:val="auto"/>
    <w:pitch w:val="default"/>
    <w:sig w:usb0="00000000" w:usb1="00000000" w:usb2="00000000" w:usb3="00000000" w:csb0="00040000" w:csb1="00000000"/>
    <w:embedRegular r:id="rId9" w:fontKey="{246B4119-49E6-459E-87C6-67671ED49FD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DE9EC"/>
    <w:multiLevelType w:val="singleLevel"/>
    <w:tmpl w:val="FC9DE9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13CC75B0"/>
    <w:rsid w:val="170D2487"/>
    <w:rsid w:val="20213858"/>
    <w:rsid w:val="2B726E7D"/>
    <w:rsid w:val="2F24193D"/>
    <w:rsid w:val="38DF7CD0"/>
    <w:rsid w:val="401A01BA"/>
    <w:rsid w:val="4A9A3E91"/>
    <w:rsid w:val="51E2053E"/>
    <w:rsid w:val="59A55F73"/>
    <w:rsid w:val="6D1A178E"/>
    <w:rsid w:val="71193077"/>
    <w:rsid w:val="72E36821"/>
    <w:rsid w:val="75B3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w:basedOn w:val="1"/>
    <w:next w:val="4"/>
    <w:qFormat/>
    <w:uiPriority w:val="0"/>
    <w:pPr>
      <w:spacing w:line="560" w:lineRule="exact"/>
      <w:jc w:val="center"/>
    </w:pPr>
    <w:rPr>
      <w:rFonts w:ascii="仿宋_GB2312" w:eastAsia="仿宋_GB2312"/>
      <w:b/>
      <w:bCs/>
      <w:sz w:val="36"/>
    </w:rPr>
  </w:style>
  <w:style w:type="paragraph" w:styleId="4">
    <w:name w:val="Title"/>
    <w:basedOn w:val="1"/>
    <w:next w:val="5"/>
    <w:qFormat/>
    <w:uiPriority w:val="0"/>
    <w:pPr>
      <w:spacing w:before="240" w:beforeLines="0" w:after="60" w:afterLines="0"/>
      <w:jc w:val="center"/>
      <w:outlineLvl w:val="0"/>
    </w:pPr>
    <w:rPr>
      <w:rFonts w:ascii="Cambria" w:hAnsi="Cambria"/>
      <w:b/>
      <w:bCs/>
      <w:kern w:val="0"/>
      <w:sz w:val="32"/>
      <w:szCs w:val="32"/>
    </w:rPr>
  </w:style>
  <w:style w:type="paragraph" w:styleId="5">
    <w:name w:val="Body Text Indent"/>
    <w:basedOn w:val="1"/>
    <w:next w:val="1"/>
    <w:qFormat/>
    <w:uiPriority w:val="0"/>
    <w:pPr>
      <w:ind w:firstLine="627"/>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2997</Words>
  <Characters>3081</Characters>
  <Lines>0</Lines>
  <Paragraphs>0</Paragraphs>
  <TotalTime>17</TotalTime>
  <ScaleCrop>false</ScaleCrop>
  <LinksUpToDate>false</LinksUpToDate>
  <CharactersWithSpaces>3089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熊本熊&amp;史努比</cp:lastModifiedBy>
  <dcterms:modified xsi:type="dcterms:W3CDTF">2025-10-22T10:21:35Z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0E3A84948F8E4EB1A40473D043FEFADE_13</vt:lpwstr>
  </property>
  <property fmtid="{D5CDD505-2E9C-101B-9397-08002B2CF9AE}" pid="4" name="KSOTemplateDocerSaveRecord">
    <vt:lpwstr>eyJoZGlkIjoiNTAzZjUxODBjNjc4ZmEzYWI4MjlhYTk2YzQxZGJiZTkiLCJ1c2VySWQiOiIyNDgyMjg4NDQifQ==</vt:lpwstr>
  </property>
</Properties>
</file>