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lang w:eastAsia="zh-CN"/>
        </w:rPr>
      </w:pPr>
      <w:r>
        <w:rPr>
          <w:rFonts w:hint="eastAsia"/>
        </w:rPr>
        <w:t>山东省寄生虫病防治研究所</w:t>
      </w:r>
    </w:p>
    <w:p>
      <w:pPr>
        <w:pStyle w:val="4"/>
        <w:numPr>
          <w:ilvl w:val="0"/>
          <w:numId w:val="1"/>
        </w:numPr>
        <w:bidi w:val="0"/>
        <w:rPr>
          <w:rFonts w:hint="eastAsia"/>
          <w:lang w:val="en-US" w:eastAsia="zh-CN"/>
        </w:rPr>
      </w:pPr>
      <w:r>
        <w:rPr>
          <w:rFonts w:hint="eastAsia"/>
          <w:lang w:val="en-US" w:eastAsia="zh-CN"/>
        </w:rPr>
        <w:t>单位简介</w:t>
      </w:r>
    </w:p>
    <w:p>
      <w:pPr>
        <w:rPr>
          <w:rFonts w:hint="eastAsia"/>
          <w:lang w:val="en-US" w:eastAsia="zh-CN"/>
        </w:rPr>
      </w:pPr>
      <w:r>
        <w:rPr>
          <w:rFonts w:hint="eastAsia"/>
          <w:lang w:val="en-US" w:eastAsia="zh-CN"/>
        </w:rPr>
        <w:t>山东省寄生虫病防治研究所座落于“孔孟之乡、运河之都”的山东省济宁市，隶属于山东第一医科大学（山东省医学科学院）。目前为山东省唯一的集寄生虫病与消化系统疾病预防、科研、临床、人才培养为一体的省属专业机构；是世界卫生组织媒介传播疾病和食源性寄生虫病合作中心、山东囊虫病治疗中心、山东省消化系统疾病防治中心、博士、硕士研究生培养单位；出版发行《中国病原生物学杂志》；单位现有省医药卫生重点实验室、省医药卫生重点学科、省医科院临床重点专科、济宁市重点学科等。设有省属消化病与寄生虫病治疗专科医院—山东第一医科大学附属消化病医院，拥有国内著名的寄生虫病诊疗专家，在寄生虫病的诊治方面处于国内领先地位；消化内镜中心拥有高清胃肠镜、以色列胶囊内镜等各种内镜设备，是山东省拥有内镜设备最全的医疗单位，收治患者已覆盖20余个省(市、自治区)以及韩国、印度等国家。</w:t>
      </w:r>
    </w:p>
    <w:p>
      <w:pPr>
        <w:rPr>
          <w:rFonts w:hint="eastAsia"/>
          <w:lang w:val="en-US" w:eastAsia="zh-CN"/>
        </w:rPr>
      </w:pPr>
      <w:r>
        <w:rPr>
          <w:rFonts w:hint="eastAsia"/>
          <w:lang w:val="en-US" w:eastAsia="zh-CN"/>
        </w:rPr>
        <w:t>单位拥有在职职工221人，其中高级技术职称者55人，博士人员10人，硕士人员61人，是全国首批具有硕士培养资格的单位，承担病原生物学、内科学（消化病学）专业研究生教育培养工作，目前拥有博士生导师1人，硕士生导师13人。先后承担并完成国家级、省部级、厅院级科研课题450余项，荣获各级科技成果奖110余项，主编及参编寄生虫病专著60余部，公开发表论文1100余篇。单位先后被授予“全国卫生先进集体”、“全国丝虫病防治先进集体”、“全省丝虫病防治先进集体”、“省级文明单位”、“山东省抗击新冠肺炎疫情先进集体”等各级荣誉称号。</w:t>
      </w:r>
    </w:p>
    <w:p>
      <w:pPr>
        <w:rPr>
          <w:rFonts w:hint="eastAsia"/>
          <w:lang w:val="en-US" w:eastAsia="zh-CN"/>
        </w:rPr>
      </w:pPr>
      <w:r>
        <w:rPr>
          <w:rFonts w:hint="eastAsia"/>
          <w:lang w:val="en-US" w:eastAsia="zh-CN"/>
        </w:rPr>
        <w:t>70年来，以全国著名黑热病专家王兆俊研究员、全国著名丝虫病专家仲崇祜研究员、全国著名疟疾专家程义亮研究员为代表的一代又一代山东寄防人紧紧围绕严重危害人民健康的寄生虫病和消化系统疾病大力开展防治工作，在防治策略、防治技术、防治方法、疾病监测、效果评价等方面在国内同行业保持领先地位，分别于1958年、1983年、1988年在全国率先实现基本消灭黑热病、丝虫病和疟疾，取得全国寄生虫病防治工作的“三连冠”，2012年起保持无本地感染疟疾病例报告，2019年通过国家卫健委组织的消除疟疾考核评估，全省实现消除疟疾的目标。山东省在全国率先基本消灭三大寄生虫病，取得了彪炳史册的成就，为保护全省人民的身体健康、促进山东经济和社会发展做出了巨大贡献，为世界防治寄生虫病提供了成功的经验。山东省寄生虫病防治研究所将在山东第一医科大学（山东省医学科学院）党委的领导下，继承弘扬山东寄防精神，再创事业新辉煌！</w:t>
      </w:r>
    </w:p>
    <w:p>
      <w:pPr>
        <w:pStyle w:val="8"/>
        <w:rPr>
          <w:rFonts w:hint="eastAsia"/>
          <w:lang w:val="en-US" w:eastAsia="zh-CN"/>
        </w:rPr>
      </w:pPr>
    </w:p>
    <w:p>
      <w:pPr>
        <w:rPr>
          <w:rFonts w:hint="eastAsia"/>
          <w:lang w:val="en-US" w:eastAsia="zh-CN"/>
        </w:rPr>
      </w:pPr>
    </w:p>
    <w:p>
      <w:pPr>
        <w:pStyle w:val="4"/>
        <w:numPr>
          <w:ilvl w:val="0"/>
          <w:numId w:val="1"/>
        </w:numPr>
        <w:bidi w:val="0"/>
        <w:rPr>
          <w:rFonts w:hint="eastAsia"/>
          <w:lang w:val="en-US" w:eastAsia="zh-CN"/>
        </w:rPr>
      </w:pPr>
      <w:r>
        <w:rPr>
          <w:rFonts w:hint="eastAsia"/>
          <w:lang w:val="en-US" w:eastAsia="zh-CN"/>
        </w:rPr>
        <w:t>招聘需求</w:t>
      </w:r>
    </w:p>
    <w:tbl>
      <w:tblPr>
        <w:tblStyle w:val="10"/>
        <w:tblW w:w="498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4"/>
        <w:gridCol w:w="660"/>
        <w:gridCol w:w="642"/>
        <w:gridCol w:w="724"/>
        <w:gridCol w:w="769"/>
        <w:gridCol w:w="700"/>
        <w:gridCol w:w="853"/>
        <w:gridCol w:w="2441"/>
        <w:gridCol w:w="1582"/>
        <w:gridCol w:w="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lang w:val="en-US" w:eastAsia="zh-CN"/>
              </w:rPr>
            </w:pPr>
            <w:r>
              <w:rPr>
                <w:rFonts w:hint="eastAsia"/>
                <w:b/>
                <w:bCs w:val="0"/>
                <w:lang w:val="en-US" w:eastAsia="zh-CN"/>
              </w:rPr>
              <w:t>序号</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岗位名称</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岗位类别</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岗位等级</w:t>
            </w:r>
          </w:p>
        </w:tc>
        <w:tc>
          <w:tcPr>
            <w:tcW w:w="3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岗位性质</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招聘人数</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lang w:val="en-US" w:eastAsia="zh-CN"/>
              </w:rPr>
            </w:pPr>
            <w:r>
              <w:rPr>
                <w:rFonts w:hint="eastAsia"/>
                <w:b/>
                <w:bCs w:val="0"/>
                <w:lang w:val="en-US" w:eastAsia="zh-CN"/>
              </w:rPr>
              <w:t>学历</w:t>
            </w:r>
          </w:p>
          <w:p>
            <w:pPr>
              <w:pStyle w:val="18"/>
              <w:bidi w:val="0"/>
              <w:rPr>
                <w:rFonts w:hint="eastAsia"/>
                <w:b/>
                <w:bCs w:val="0"/>
              </w:rPr>
            </w:pPr>
            <w:bookmarkStart w:id="0" w:name="_GoBack"/>
            <w:bookmarkEnd w:id="0"/>
            <w:r>
              <w:rPr>
                <w:rFonts w:hint="eastAsia"/>
                <w:b/>
                <w:bCs w:val="0"/>
                <w:lang w:val="en-US" w:eastAsia="zh-CN"/>
              </w:rPr>
              <w:t>学位</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研究生专业要求</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其它条件要求</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b/>
                <w:bCs w:val="0"/>
              </w:rPr>
            </w:pPr>
            <w:r>
              <w:rPr>
                <w:rFonts w:hint="eastAsia"/>
                <w:b/>
                <w:bCs w:val="0"/>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default"/>
                <w:lang w:val="en-US" w:eastAsia="zh-CN"/>
              </w:rPr>
            </w:pPr>
            <w:r>
              <w:rPr>
                <w:rFonts w:hint="eastAsia"/>
                <w:lang w:val="en-US" w:eastAsia="zh-CN"/>
              </w:rPr>
              <w:t>1</w:t>
            </w:r>
          </w:p>
        </w:tc>
        <w:tc>
          <w:tcPr>
            <w:tcW w:w="33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财务</w:t>
            </w:r>
          </w:p>
        </w:tc>
        <w:tc>
          <w:tcPr>
            <w:tcW w:w="32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管理岗位</w:t>
            </w:r>
          </w:p>
        </w:tc>
        <w:tc>
          <w:tcPr>
            <w:tcW w:w="36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管理七级及以下</w:t>
            </w:r>
          </w:p>
        </w:tc>
        <w:tc>
          <w:tcPr>
            <w:tcW w:w="38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A类(综合类)</w:t>
            </w:r>
          </w:p>
        </w:tc>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1</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硕士</w:t>
            </w:r>
          </w:p>
          <w:p>
            <w:pPr>
              <w:pStyle w:val="18"/>
              <w:bidi w:val="0"/>
              <w:rPr>
                <w:rFonts w:hint="eastAsia"/>
                <w:lang w:val="en-US" w:eastAsia="zh-CN"/>
              </w:rPr>
            </w:pPr>
            <w:r>
              <w:rPr>
                <w:rFonts w:hint="eastAsia"/>
                <w:lang w:val="en-US" w:eastAsia="zh-CN"/>
              </w:rPr>
              <w:t>研究生以上</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lang w:val="en-US" w:eastAsia="zh-CN"/>
              </w:rPr>
              <w:t>会计专业学位</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lang w:val="en-US" w:eastAsia="zh-CN"/>
              </w:rPr>
              <w:t>两年以上会计相关工作经历</w:t>
            </w:r>
          </w:p>
        </w:tc>
        <w:tc>
          <w:tcPr>
            <w:tcW w:w="4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default"/>
                <w:lang w:val="en-US" w:eastAsia="zh-CN"/>
              </w:rPr>
            </w:pPr>
            <w:r>
              <w:rPr>
                <w:rFonts w:hint="eastAsia"/>
                <w:lang w:val="en-US" w:eastAsia="zh-CN"/>
              </w:rPr>
              <w:t>2</w:t>
            </w:r>
          </w:p>
        </w:tc>
        <w:tc>
          <w:tcPr>
            <w:tcW w:w="33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科研</w:t>
            </w:r>
          </w:p>
        </w:tc>
        <w:tc>
          <w:tcPr>
            <w:tcW w:w="32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专业技术岗位</w:t>
            </w:r>
          </w:p>
        </w:tc>
        <w:tc>
          <w:tcPr>
            <w:tcW w:w="36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初级</w:t>
            </w:r>
          </w:p>
        </w:tc>
        <w:tc>
          <w:tcPr>
            <w:tcW w:w="38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A类(综合类)</w:t>
            </w:r>
          </w:p>
        </w:tc>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3</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硕士</w:t>
            </w:r>
          </w:p>
          <w:p>
            <w:pPr>
              <w:pStyle w:val="18"/>
              <w:bidi w:val="0"/>
              <w:rPr>
                <w:rFonts w:hint="eastAsia"/>
                <w:lang w:val="en-US" w:eastAsia="zh-CN"/>
              </w:rPr>
            </w:pPr>
            <w:r>
              <w:rPr>
                <w:rFonts w:hint="eastAsia"/>
                <w:lang w:val="en-US" w:eastAsia="zh-CN"/>
              </w:rPr>
              <w:t>研究生以上</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lang w:val="en-US" w:eastAsia="zh-CN"/>
              </w:rPr>
              <w:t>公共卫生与预防医学一级学科（流行病与卫生统计学方向）、公共卫生专业学位（公共卫生方向）、基础医学一级学科（病原生物学、免疫学方向）、生物学一级学科（生物化学与分子生物学、微生物学、细胞生物学方向）</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lang w:val="en-US" w:eastAsia="zh-CN"/>
              </w:rPr>
              <w:t>/</w:t>
            </w:r>
          </w:p>
        </w:tc>
        <w:tc>
          <w:tcPr>
            <w:tcW w:w="45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default"/>
                <w:lang w:val="en-US" w:eastAsia="zh-CN"/>
              </w:rPr>
            </w:pPr>
            <w:r>
              <w:rPr>
                <w:rFonts w:hint="eastAsia"/>
                <w:lang w:val="en-US" w:eastAsia="zh-CN"/>
              </w:rPr>
              <w:t>3</w:t>
            </w:r>
          </w:p>
        </w:tc>
        <w:tc>
          <w:tcPr>
            <w:tcW w:w="33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临床医师</w:t>
            </w:r>
          </w:p>
        </w:tc>
        <w:tc>
          <w:tcPr>
            <w:tcW w:w="32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专业技术岗位</w:t>
            </w:r>
          </w:p>
        </w:tc>
        <w:tc>
          <w:tcPr>
            <w:tcW w:w="36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初级</w:t>
            </w:r>
          </w:p>
        </w:tc>
        <w:tc>
          <w:tcPr>
            <w:tcW w:w="38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B类(医疗类)</w:t>
            </w:r>
          </w:p>
        </w:tc>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4</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硕士</w:t>
            </w:r>
          </w:p>
          <w:p>
            <w:pPr>
              <w:pStyle w:val="18"/>
              <w:bidi w:val="0"/>
              <w:rPr>
                <w:rFonts w:hint="eastAsia"/>
                <w:lang w:val="en-US" w:eastAsia="zh-CN"/>
              </w:rPr>
            </w:pPr>
            <w:r>
              <w:rPr>
                <w:rFonts w:hint="eastAsia"/>
                <w:lang w:val="en-US" w:eastAsia="zh-CN"/>
              </w:rPr>
              <w:t>研究生以上</w:t>
            </w:r>
          </w:p>
        </w:tc>
        <w:tc>
          <w:tcPr>
            <w:tcW w:w="12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lang w:val="en-US" w:eastAsia="zh-CN"/>
              </w:rPr>
              <w:t>内科学专业（消化系病、消化内科学、感染性疾病科与内分泌内科、传染病、心血管内科学、神经内科学、呼吸内科学方向）；外科学专业（普外、胃肠外科学方向）；神经病学专业；老年医学专业；影像医学与核医学专业（放射学、超声医学方向）；麻醉学专业；重症医学专业学位</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8"/>
              <w:bidi w:val="0"/>
              <w:rPr>
                <w:rFonts w:hint="eastAsia"/>
                <w:lang w:val="en-US" w:eastAsia="zh-CN"/>
              </w:rPr>
            </w:pPr>
            <w:r>
              <w:rPr>
                <w:rFonts w:hint="eastAsia"/>
                <w:lang w:val="en-US" w:eastAsia="zh-CN"/>
              </w:rPr>
              <w:t>具有医师执业证书、住院医师规范化培训合格证书。</w:t>
            </w:r>
          </w:p>
        </w:tc>
        <w:tc>
          <w:tcPr>
            <w:tcW w:w="450" w:type="pct"/>
            <w:vMerge w:val="restart"/>
            <w:tcBorders>
              <w:top w:val="single" w:color="000000" w:sz="4" w:space="0"/>
              <w:left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工作地点在山东第一医科大学附属消化病医院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3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default"/>
                <w:lang w:val="en-US" w:eastAsia="zh-CN"/>
              </w:rPr>
            </w:pPr>
            <w:r>
              <w:rPr>
                <w:rFonts w:hint="eastAsia"/>
                <w:lang w:val="en-US" w:eastAsia="zh-CN"/>
              </w:rPr>
              <w:t>4</w:t>
            </w:r>
          </w:p>
        </w:tc>
        <w:tc>
          <w:tcPr>
            <w:tcW w:w="33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医学检验</w:t>
            </w:r>
          </w:p>
        </w:tc>
        <w:tc>
          <w:tcPr>
            <w:tcW w:w="323"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专业技术岗位</w:t>
            </w:r>
          </w:p>
        </w:tc>
        <w:tc>
          <w:tcPr>
            <w:tcW w:w="36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初级</w:t>
            </w:r>
          </w:p>
        </w:tc>
        <w:tc>
          <w:tcPr>
            <w:tcW w:w="387"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D类（检验类）</w:t>
            </w:r>
          </w:p>
        </w:tc>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1</w:t>
            </w:r>
          </w:p>
        </w:tc>
        <w:tc>
          <w:tcPr>
            <w:tcW w:w="42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硕士</w:t>
            </w:r>
          </w:p>
          <w:p>
            <w:pPr>
              <w:pStyle w:val="18"/>
              <w:bidi w:val="0"/>
              <w:rPr>
                <w:rFonts w:hint="eastAsia"/>
                <w:lang w:val="en-US" w:eastAsia="zh-CN"/>
              </w:rPr>
            </w:pPr>
            <w:r>
              <w:rPr>
                <w:rFonts w:hint="eastAsia"/>
                <w:lang w:val="en-US" w:eastAsia="zh-CN"/>
              </w:rPr>
              <w:t>研究生以上</w:t>
            </w:r>
          </w:p>
        </w:tc>
        <w:tc>
          <w:tcPr>
            <w:tcW w:w="122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临床检验诊断学专业、医学技术一级学科（医学检验技术方向）、生物学一级学科（微生物学方向）、基础医学一级学科（病原生物学方向）</w:t>
            </w:r>
          </w:p>
        </w:tc>
        <w:tc>
          <w:tcPr>
            <w:tcW w:w="79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r>
              <w:rPr>
                <w:rFonts w:hint="eastAsia"/>
                <w:lang w:val="en-US" w:eastAsia="zh-CN"/>
              </w:rPr>
              <w:t>具有临床医学检验技术初级资格证书。</w:t>
            </w:r>
          </w:p>
        </w:tc>
        <w:tc>
          <w:tcPr>
            <w:tcW w:w="450" w:type="pct"/>
            <w:vMerge w:val="continue"/>
            <w:tcBorders>
              <w:left w:val="single" w:color="000000" w:sz="4" w:space="0"/>
              <w:bottom w:val="single" w:color="000000" w:sz="4" w:space="0"/>
              <w:right w:val="single" w:color="000000" w:sz="4" w:space="0"/>
            </w:tcBorders>
            <w:shd w:val="clear" w:color="000000" w:fill="FFFFFF"/>
            <w:vAlign w:val="center"/>
          </w:tcPr>
          <w:p>
            <w:pPr>
              <w:pStyle w:val="18"/>
              <w:bidi w:val="0"/>
              <w:rPr>
                <w:rFonts w:hint="eastAsia"/>
                <w:lang w:val="en-US" w:eastAsia="zh-CN"/>
              </w:rPr>
            </w:pPr>
          </w:p>
        </w:tc>
      </w:tr>
    </w:tbl>
    <w:p>
      <w:pPr>
        <w:pStyle w:val="18"/>
        <w:bidi w:val="0"/>
        <w:rPr>
          <w:rFonts w:hint="eastAsia"/>
          <w:lang w:val="en-US" w:eastAsia="zh-CN"/>
        </w:rPr>
      </w:pPr>
    </w:p>
    <w:p>
      <w:pPr>
        <w:pStyle w:val="4"/>
        <w:numPr>
          <w:ilvl w:val="0"/>
          <w:numId w:val="1"/>
        </w:numPr>
        <w:bidi w:val="0"/>
        <w:rPr>
          <w:rFonts w:hint="default"/>
          <w:lang w:val="en-US" w:eastAsia="zh-CN"/>
        </w:rPr>
      </w:pPr>
      <w:r>
        <w:rPr>
          <w:rFonts w:hint="eastAsia"/>
          <w:lang w:val="en-US" w:eastAsia="zh-CN"/>
        </w:rPr>
        <w:t>福利待遇</w:t>
      </w:r>
    </w:p>
    <w:p>
      <w:pPr>
        <w:rPr>
          <w:rFonts w:hint="default"/>
          <w:lang w:val="en-US" w:eastAsia="zh-CN"/>
        </w:rPr>
      </w:pPr>
      <w:r>
        <w:rPr>
          <w:rFonts w:hint="default"/>
          <w:lang w:val="en-US" w:eastAsia="zh-CN"/>
        </w:rPr>
        <w:t>人才引进方式包含一事一议引进人才、柔性引进高层次人才、团队引进、直接引进等多种方式。引进人才如符合《山东第一医科大学（山东省医学科学院）人才引进（提升）计划管理办法》中高层次人才类型的，享受年薪制，聘任独立PI，住房补贴，科研经费、配偶随迁、子女就学等各类优惠待遇，在导师遴选、职称晋升等方面也有优先保障。</w:t>
      </w:r>
    </w:p>
    <w:p>
      <w:pPr>
        <w:rPr>
          <w:rFonts w:hint="default"/>
          <w:lang w:val="en-US" w:eastAsia="zh-CN"/>
        </w:rPr>
      </w:pPr>
      <w:r>
        <w:rPr>
          <w:rFonts w:hint="default"/>
          <w:lang w:val="en-US" w:eastAsia="zh-CN"/>
        </w:rPr>
        <w:t>正常公开招聘省编人员除正常享受所在事业单位工作人员工资和各项福利外，符合济宁市引才政策的还享受引才补贴、购房补贴、税务减免等各方面的优惠待遇。</w:t>
      </w:r>
    </w:p>
    <w:p>
      <w:pPr>
        <w:pStyle w:val="4"/>
        <w:numPr>
          <w:ilvl w:val="0"/>
          <w:numId w:val="1"/>
        </w:numPr>
        <w:bidi w:val="0"/>
        <w:rPr>
          <w:rFonts w:hint="default"/>
          <w:lang w:val="en-US" w:eastAsia="zh-CN"/>
        </w:rPr>
      </w:pPr>
      <w:r>
        <w:rPr>
          <w:rFonts w:hint="eastAsia"/>
          <w:lang w:val="en-US" w:eastAsia="zh-CN"/>
        </w:rPr>
        <w:t>联系方式</w:t>
      </w:r>
    </w:p>
    <w:p>
      <w:pPr>
        <w:bidi w:val="0"/>
        <w:rPr>
          <w:rFonts w:hint="default"/>
          <w:lang w:val="en-US" w:eastAsia="zh-CN"/>
        </w:rPr>
      </w:pPr>
      <w:r>
        <w:rPr>
          <w:rFonts w:hint="eastAsia"/>
          <w:lang w:val="en-US" w:eastAsia="zh-CN"/>
        </w:rPr>
        <w:t>咨询电话：0537-2353256</w:t>
      </w:r>
    </w:p>
    <w:p>
      <w:pPr>
        <w:rPr>
          <w:rFonts w:hint="default"/>
          <w:lang w:val="en-US" w:eastAsia="zh-CN"/>
        </w:rPr>
      </w:pPr>
    </w:p>
    <w:p>
      <w:pPr>
        <w:ind w:left="0" w:leftChars="0" w:firstLine="0" w:firstLineChars="0"/>
        <w:rPr>
          <w:rFonts w:hint="default"/>
          <w:lang w:val="en-US" w:eastAsia="zh-CN"/>
        </w:rPr>
      </w:pPr>
    </w:p>
    <w:p>
      <w:pPr>
        <w:ind w:left="0" w:leftChars="0" w:firstLine="0" w:firstLineChars="0"/>
        <w:rPr>
          <w:rFonts w:hint="eastAsia"/>
          <w:lang w:val="en-US" w:eastAsia="zh-CN"/>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94514"/>
    <w:multiLevelType w:val="singleLevel"/>
    <w:tmpl w:val="B9C945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Y1ODMwMGY4MDU0M2Y5NzFmYWM1MGU1MTFmYTAifQ=="/>
    <w:docVar w:name="KSO_WPS_MARK_KEY" w:val="e4554b6e-ffdc-4665-998f-e83554055722"/>
  </w:docVars>
  <w:rsids>
    <w:rsidRoot w:val="018C1122"/>
    <w:rsid w:val="00733263"/>
    <w:rsid w:val="018C1122"/>
    <w:rsid w:val="03B53B00"/>
    <w:rsid w:val="088F18AE"/>
    <w:rsid w:val="1FC1032D"/>
    <w:rsid w:val="28211F67"/>
    <w:rsid w:val="573B211D"/>
    <w:rsid w:val="650E4887"/>
    <w:rsid w:val="6D995997"/>
    <w:rsid w:val="6F321F6C"/>
    <w:rsid w:val="78E47CFE"/>
    <w:rsid w:val="7D26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880" w:firstLineChars="200"/>
      <w:jc w:val="both"/>
    </w:pPr>
    <w:rPr>
      <w:rFonts w:ascii="Times New Roman" w:hAnsi="Times New Roman" w:eastAsia="仿宋_GB2312" w:cs="Times New Roman"/>
      <w:kern w:val="2"/>
      <w:sz w:val="24"/>
      <w:szCs w:val="24"/>
      <w:lang w:val="en-US" w:eastAsia="zh-CN" w:bidi="ar-SA"/>
    </w:rPr>
  </w:style>
  <w:style w:type="paragraph" w:styleId="4">
    <w:name w:val="heading 1"/>
    <w:basedOn w:val="1"/>
    <w:next w:val="1"/>
    <w:link w:val="20"/>
    <w:qFormat/>
    <w:uiPriority w:val="0"/>
    <w:pPr>
      <w:keepNext/>
      <w:keepLines/>
      <w:spacing w:beforeLines="0" w:beforeAutospacing="0" w:afterLines="0" w:afterAutospacing="0" w:line="360" w:lineRule="auto"/>
      <w:ind w:firstLine="0" w:firstLineChars="0"/>
      <w:outlineLvl w:val="0"/>
    </w:pPr>
    <w:rPr>
      <w:rFonts w:eastAsia="微软雅黑"/>
      <w:kern w:val="44"/>
      <w:sz w:val="28"/>
    </w:rPr>
  </w:style>
  <w:style w:type="paragraph" w:styleId="5">
    <w:name w:val="heading 2"/>
    <w:basedOn w:val="1"/>
    <w:next w:val="1"/>
    <w:unhideWhenUsed/>
    <w:qFormat/>
    <w:uiPriority w:val="0"/>
    <w:pPr>
      <w:keepNext/>
      <w:keepLines/>
      <w:spacing w:beforeLines="0" w:beforeAutospacing="0" w:afterLines="0" w:afterAutospacing="0" w:line="360" w:lineRule="auto"/>
      <w:ind w:firstLine="0" w:firstLineChars="0"/>
      <w:jc w:val="center"/>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firstLine="600" w:firstLineChars="200"/>
    </w:pPr>
    <w:rPr>
      <w:sz w:val="30"/>
      <w:szCs w:val="30"/>
    </w:rPr>
  </w:style>
  <w:style w:type="paragraph" w:styleId="6">
    <w:name w:val="Document Map"/>
    <w:basedOn w:val="1"/>
    <w:semiHidden/>
    <w:unhideWhenUsed/>
    <w:qFormat/>
    <w:uiPriority w:val="99"/>
    <w:pPr>
      <w:shd w:val="clear" w:color="auto" w:fill="00008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toc 1"/>
    <w:basedOn w:val="1"/>
    <w:next w:val="1"/>
    <w:qFormat/>
    <w:uiPriority w:val="0"/>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Hyperlink"/>
    <w:basedOn w:val="12"/>
    <w:qFormat/>
    <w:uiPriority w:val="0"/>
    <w:rPr>
      <w:color w:val="0000FF"/>
      <w:u w:val="single"/>
    </w:rPr>
  </w:style>
  <w:style w:type="paragraph" w:customStyle="1" w:styleId="17">
    <w:name w:val="缩进"/>
    <w:basedOn w:val="1"/>
    <w:qFormat/>
    <w:uiPriority w:val="0"/>
    <w:pPr>
      <w:ind w:firstLine="200" w:firstLineChars="200"/>
    </w:pPr>
  </w:style>
  <w:style w:type="paragraph" w:customStyle="1" w:styleId="18">
    <w:name w:val="表格"/>
    <w:basedOn w:val="1"/>
    <w:qFormat/>
    <w:uiPriority w:val="0"/>
    <w:pPr>
      <w:widowControl/>
      <w:spacing w:line="240" w:lineRule="auto"/>
      <w:ind w:firstLine="0" w:firstLineChars="0"/>
      <w:jc w:val="center"/>
      <w:textAlignment w:val="center"/>
    </w:pPr>
    <w:rPr>
      <w:rFonts w:hint="eastAsia" w:ascii="仿宋" w:hAnsi="仿宋" w:eastAsia="仿宋" w:cs="仿宋"/>
      <w:bCs/>
      <w:color w:val="000000"/>
      <w:kern w:val="0"/>
      <w:sz w:val="20"/>
      <w:szCs w:val="20"/>
      <w:u w:val="none"/>
      <w:lang w:bidi="ar"/>
    </w:rPr>
  </w:style>
  <w:style w:type="paragraph" w:customStyle="1" w:styleId="19">
    <w:name w:val="默认段落字体 Para Char Char Char Char Char Char Char Char Char Char Char Char Char Char Char1 Char Char Char Char"/>
    <w:basedOn w:val="6"/>
    <w:qFormat/>
    <w:uiPriority w:val="0"/>
    <w:pPr>
      <w:adjustRightInd w:val="0"/>
      <w:spacing w:line="436" w:lineRule="exact"/>
      <w:ind w:left="357"/>
      <w:jc w:val="left"/>
      <w:outlineLvl w:val="3"/>
    </w:pPr>
    <w:rPr>
      <w:rFonts w:ascii="Tahoma" w:hAnsi="Tahoma" w:eastAsia="宋体"/>
      <w:b/>
      <w:sz w:val="24"/>
    </w:rPr>
  </w:style>
  <w:style w:type="character" w:customStyle="1" w:styleId="20">
    <w:name w:val="标题 1 Char"/>
    <w:link w:val="4"/>
    <w:qFormat/>
    <w:uiPriority w:val="0"/>
    <w:rPr>
      <w:rFonts w:eastAsia="微软雅黑"/>
      <w:kern w:val="44"/>
      <w:sz w:val="28"/>
    </w:rPr>
  </w:style>
  <w:style w:type="paragraph" w:styleId="21">
    <w:name w:val="List Paragraph"/>
    <w:basedOn w:val="1"/>
    <w:qFormat/>
    <w:uiPriority w:val="34"/>
    <w:pPr>
      <w:ind w:firstLine="420" w:firstLineChars="200"/>
    </w:pPr>
  </w:style>
  <w:style w:type="paragraph" w:customStyle="1" w:styleId="22">
    <w:name w:val="Default"/>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lang w:val="en-US" w:eastAsia="zh-CN" w:bidi="ar-SA"/>
    </w:rPr>
  </w:style>
  <w:style w:type="character" w:customStyle="1" w:styleId="23">
    <w:name w:val="font21"/>
    <w:basedOn w:val="12"/>
    <w:qFormat/>
    <w:uiPriority w:val="0"/>
    <w:rPr>
      <w:rFonts w:hint="eastAsia" w:ascii="宋体" w:hAnsi="宋体" w:eastAsia="宋体" w:cs="宋体"/>
      <w:color w:val="000000"/>
      <w:sz w:val="20"/>
      <w:szCs w:val="20"/>
      <w:u w:val="none"/>
    </w:rPr>
  </w:style>
  <w:style w:type="character" w:customStyle="1" w:styleId="24">
    <w:name w:val="font41"/>
    <w:basedOn w:val="12"/>
    <w:qFormat/>
    <w:uiPriority w:val="0"/>
    <w:rPr>
      <w:rFonts w:ascii="Calibri" w:hAnsi="Calibri" w:cs="Calibri"/>
      <w:color w:val="000000"/>
      <w:sz w:val="20"/>
      <w:szCs w:val="20"/>
      <w:u w:val="none"/>
    </w:rPr>
  </w:style>
  <w:style w:type="character" w:customStyle="1" w:styleId="25">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26308</Words>
  <Characters>28067</Characters>
  <Lines>0</Lines>
  <Paragraphs>0</Paragraphs>
  <TotalTime>2</TotalTime>
  <ScaleCrop>false</ScaleCrop>
  <LinksUpToDate>false</LinksUpToDate>
  <CharactersWithSpaces>28171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2023-03-28T06:19:00Z</dcterms:created>
  <dc:creator>思妤思妤</dc:creator>
  <cp:lastModifiedBy>思妤思妤</cp:lastModifiedBy>
  <dcterms:modified xsi:type="dcterms:W3CDTF">2023-04-12T03:25:04Z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46D6722703714F93AD96FA1DA82A601A_13</vt:lpwstr>
  </property>
</Properties>
</file>