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tLeast"/>
        <w:ind w:firstLine="48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生命科学学院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生命科学学院现有专任教师38人，具有博士学位34人,正高职称7人，副高级职称14人。“泰山学者青年专家”2人，山东省高等学校教学名师1人，山东省高校黄大年式教学团队1个，山东省高等学校青年创新团队发展计划2个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生命科学学院</w:t>
      </w:r>
      <w:r>
        <w:rPr>
          <w:rFonts w:hint="eastAsia" w:ascii="仿宋" w:hAnsi="仿宋" w:eastAsia="仿宋" w:cs="仿宋"/>
          <w:kern w:val="0"/>
          <w:sz w:val="28"/>
          <w:szCs w:val="28"/>
        </w:rPr>
        <w:t>现有全日制生物技术、生物工程、生物制药和生物信息学4个本科省级一流专业。现有生物学一级学科学术型硕士点一个，参与共建生物与医药专业学位硕士点一个。《医学遗传学》入选国家级一流课程并获批省级课程思政示范课程；《微生物学》获批省级一流课程、入选山东省思政示范课程。获省级教学成果奖一</w:t>
      </w:r>
      <w:bookmarkStart w:id="1" w:name="_GoBack"/>
      <w:bookmarkEnd w:id="1"/>
      <w:r>
        <w:rPr>
          <w:rFonts w:hint="eastAsia" w:ascii="仿宋" w:hAnsi="仿宋" w:eastAsia="仿宋" w:cs="仿宋"/>
          <w:kern w:val="0"/>
          <w:sz w:val="28"/>
          <w:szCs w:val="28"/>
        </w:rPr>
        <w:t>等奖1项、二等奖1项。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bookmarkStart w:id="0" w:name="_Hlk95294935"/>
      <w:r>
        <w:rPr>
          <w:rFonts w:hint="eastAsia" w:ascii="仿宋" w:hAnsi="仿宋" w:eastAsia="仿宋" w:cs="仿宋"/>
          <w:kern w:val="0"/>
          <w:sz w:val="28"/>
          <w:szCs w:val="28"/>
        </w:rPr>
        <w:t>近五年，获批国家自然科学基金10项、省部级课题19项，获山东省科技进步二等奖1项、厅级奖励多项，发表影响因子大于10分的论文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9篇，授权国家发明专利8项</w:t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  <w:bookmarkEnd w:id="0"/>
      <w:r>
        <w:rPr>
          <w:rFonts w:hint="eastAsia" w:ascii="仿宋" w:hAnsi="仿宋" w:eastAsia="仿宋" w:cs="仿宋"/>
          <w:kern w:val="0"/>
          <w:sz w:val="28"/>
          <w:szCs w:val="28"/>
        </w:rPr>
        <w:t>现有山东省中医药重点实验室（学科）1个，省级大学生优秀社团4个，省级科普教育基地1个。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学院以“立地、向天、炼内、联外”为发展理念，倡导“教育为根、政治铸魂、科研为翼、关爱暖心”的育人理念，形成了“一专业一特色，一专业一协会”的专业格局。站在新起点，开启新征程，新的生命科学学院将以一流专业、一流学科、一流学院为建设目标，为建设高水平大学贡献力量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YzY1ODMwMGY4MDU0M2Y5NzFmYWM1MGU1MTFmYTAifQ=="/>
  </w:docVars>
  <w:rsids>
    <w:rsidRoot w:val="00000000"/>
    <w:rsid w:val="09370233"/>
    <w:rsid w:val="16C911CE"/>
    <w:rsid w:val="2BF01B2F"/>
    <w:rsid w:val="2F330553"/>
    <w:rsid w:val="4BDD66FE"/>
    <w:rsid w:val="6008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0"/>
    </w:pPr>
    <w:rPr>
      <w:rFonts w:eastAsia="微软雅黑"/>
      <w:kern w:val="44"/>
      <w:sz w:val="28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firstLine="600" w:firstLineChars="200"/>
    </w:pPr>
    <w:rPr>
      <w:sz w:val="30"/>
      <w:szCs w:val="30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Default"/>
    <w:next w:val="14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customStyle="1" w:styleId="14">
    <w:name w:val="_Style 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表格"/>
    <w:basedOn w:val="1"/>
    <w:qFormat/>
    <w:uiPriority w:val="0"/>
    <w:pPr>
      <w:widowControl/>
      <w:spacing w:line="240" w:lineRule="auto"/>
      <w:ind w:firstLine="0" w:firstLineChars="0"/>
      <w:jc w:val="center"/>
      <w:textAlignment w:val="center"/>
    </w:pPr>
    <w:rPr>
      <w:rFonts w:hint="eastAsia" w:ascii="仿宋" w:hAnsi="仿宋" w:eastAsia="仿宋" w:cs="仿宋"/>
      <w:bCs/>
      <w:color w:val="000000"/>
      <w:kern w:val="0"/>
      <w:sz w:val="20"/>
      <w:szCs w:val="20"/>
      <w:u w:val="none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64</Pages>
  <Words>29772</Words>
  <Characters>31968</Characters>
  <Lines>0</Lines>
  <Paragraphs>0</Paragraphs>
  <TotalTime>3</TotalTime>
  <ScaleCrop>false</ScaleCrop>
  <LinksUpToDate>false</LinksUpToDate>
  <CharactersWithSpaces>32105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2023-03-30T09:21:00Z</dcterms:created>
  <dc:creator>admin</dc:creator>
  <cp:lastModifiedBy>思妤思妤</cp:lastModifiedBy>
  <dcterms:modified xsi:type="dcterms:W3CDTF">2023-04-11T06:43:56Z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3EF0151F6B37411198D68C9FD453FC04_13</vt:lpwstr>
  </property>
</Properties>
</file>