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b/>
          <w:bCs/>
          <w:sz w:val="44"/>
          <w:szCs w:val="44"/>
        </w:rPr>
        <w:t>公共卫生与健康管理学院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公共卫生与健康管理学院的前身是公共卫生学院，成立于2003年。2020年11月与山东省疾病预防控制中心融合共建“公共卫生与健康管理学院”。</w:t>
      </w:r>
    </w:p>
    <w:p>
      <w:pPr>
        <w:rPr>
          <w:rFonts w:hint="eastAsia" w:ascii="仿宋" w:hAnsi="仿宋" w:eastAsia="仿宋" w:cs="仿宋"/>
          <w:b/>
          <w:bCs/>
          <w:sz w:val="32"/>
          <w:szCs w:val="32"/>
        </w:rPr>
      </w:pPr>
      <w:r>
        <w:rPr>
          <w:rFonts w:hint="eastAsia" w:ascii="仿宋" w:hAnsi="仿宋" w:eastAsia="仿宋" w:cs="仿宋"/>
          <w:b/>
          <w:bCs/>
          <w:sz w:val="32"/>
          <w:szCs w:val="32"/>
        </w:rPr>
        <w:t>一、学院基本情况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学院现设9个教研室、1个教学实验中心、2个实训中心和5个科研平台。现有教职工61人，其中，高级职称39人，专任教师4</w:t>
      </w:r>
      <w:r>
        <w:rPr>
          <w:rFonts w:hint="eastAsia" w:ascii="仿宋" w:hAnsi="仿宋" w:eastAsia="仿宋" w:cs="仿宋"/>
          <w:sz w:val="28"/>
          <w:szCs w:val="28"/>
          <w:lang w:val="en-US" w:eastAsia="zh-CN"/>
        </w:rPr>
        <w:t>5</w:t>
      </w:r>
      <w:r>
        <w:rPr>
          <w:rFonts w:hint="eastAsia" w:ascii="仿宋" w:hAnsi="仿宋" w:eastAsia="仿宋" w:cs="仿宋"/>
          <w:sz w:val="28"/>
          <w:szCs w:val="28"/>
        </w:rPr>
        <w:t>人，博士32人。有长江学者等国家级人才4人次、泰山学者特聘专家等省级人才6人次。有山东省“黄大年式教学团队”“全省干事创业好团队”等多个教师团队。</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专业建设情况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始终坚持专业学科一体化建设，现设医学检验技术、预防医学、卫生检验与检疫3个本科专业，其中医学检验技术为国家一流本科专业建设点、山东省特色专业；预防医学专业和卫生检验与检疫专业为山东省一流本科专业、山东省高水平应用型重点建设立项专业和山东省教育服务新旧动能转换立项专业。软科2022年度本科B类专业排名，我院预防医学专业58名，医学检验技术专业36名，卫生检验与检疫12名。</w:t>
      </w:r>
    </w:p>
    <w:p>
      <w:pPr>
        <w:rPr>
          <w:rFonts w:hint="eastAsia" w:ascii="仿宋" w:hAnsi="仿宋" w:eastAsia="仿宋" w:cs="仿宋"/>
          <w:b/>
          <w:bCs/>
          <w:sz w:val="32"/>
          <w:szCs w:val="32"/>
        </w:rPr>
      </w:pPr>
      <w:r>
        <w:rPr>
          <w:rFonts w:hint="eastAsia" w:ascii="仿宋" w:hAnsi="仿宋" w:eastAsia="仿宋" w:cs="仿宋"/>
          <w:b/>
          <w:bCs/>
          <w:sz w:val="32"/>
          <w:szCs w:val="32"/>
        </w:rPr>
        <w:t>三、学科建设情况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建设有公共卫生与预防医学一级硕士学位授权点、公共卫生专硕和临床检验诊断学、医学检验技术、卫生检验与检疫3个二级学科硕士点。2021年获批临床流行病学二级学科博士点。在校硕士研究生235人，其中学术型96人，专业型139人；博士研究生2人。</w:t>
      </w:r>
    </w:p>
    <w:p>
      <w:pPr>
        <w:rPr>
          <w:rFonts w:hint="eastAsia" w:ascii="仿宋" w:hAnsi="仿宋" w:eastAsia="仿宋" w:cs="仿宋"/>
          <w:b/>
          <w:bCs/>
          <w:sz w:val="32"/>
          <w:szCs w:val="32"/>
        </w:rPr>
      </w:pPr>
      <w:r>
        <w:rPr>
          <w:rFonts w:hint="eastAsia" w:ascii="仿宋" w:hAnsi="仿宋" w:eastAsia="仿宋" w:cs="仿宋"/>
          <w:b/>
          <w:bCs/>
          <w:sz w:val="32"/>
          <w:szCs w:val="32"/>
        </w:rPr>
        <w:t>四、科研平台建设情况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现有5个科研平台：病因流行病实验室、新发传染病病因流行病学实验室、病原微生物分子流行病学实验平台、糖基组学与慢性病研究平台、基于高通量测序的病原快速检测平台。其中“新发传染病病因流行病学实验室”为山东省高等学校重点实验室，“病因流行病学实验室”为山东省医药卫生重点实验室，形成了新发传染病分子流行病学、职业与环境卫生评估、环境毒理学等主要科研方向。近3年，学院承担国家重点研发计划子课题、国家自然科学基金等各级科研课题75项，在包括NATURE、SCIENCE、CELL等国际顶尖杂志上发表科研论文300多篇</w:t>
      </w:r>
      <w:r>
        <w:rPr>
          <w:rFonts w:hint="eastAsia" w:ascii="仿宋" w:hAnsi="仿宋" w:eastAsia="仿宋" w:cs="仿宋"/>
          <w:sz w:val="28"/>
          <w:szCs w:val="28"/>
          <w:lang w:eastAsia="zh-CN"/>
        </w:rPr>
        <w:t>，</w:t>
      </w:r>
      <w:r>
        <w:rPr>
          <w:rFonts w:hint="eastAsia" w:ascii="仿宋" w:hAnsi="仿宋" w:eastAsia="仿宋" w:cs="仿宋"/>
          <w:sz w:val="28"/>
          <w:szCs w:val="28"/>
        </w:rPr>
        <w:t>获省级科技进步二等奖多项。新冠肺炎疫情发生后，学院充分发挥专业优势，完成了新型冠状病毒全基因组测序，揭示了病毒起源及受体结合机制，为研判新型冠状病毒传播与变异提供了理论依据，为国家科技部、国家卫生健康委提供病毒检测和疫情研判报告60余份</w:t>
      </w:r>
      <w:r>
        <w:rPr>
          <w:rFonts w:hint="eastAsia" w:ascii="仿宋" w:hAnsi="仿宋" w:eastAsia="仿宋" w:cs="仿宋"/>
          <w:sz w:val="28"/>
          <w:szCs w:val="28"/>
          <w:lang w:eastAsia="zh-CN"/>
        </w:rPr>
        <w:t>，</w:t>
      </w:r>
      <w:r>
        <w:rPr>
          <w:rFonts w:hint="eastAsia" w:ascii="仿宋" w:hAnsi="仿宋" w:eastAsia="仿宋" w:cs="仿宋"/>
          <w:sz w:val="28"/>
          <w:szCs w:val="28"/>
        </w:rPr>
        <w:t>以实际行动彰显了公卫人的初心使命。</w:t>
      </w: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E844F"/>
    <w:multiLevelType w:val="singleLevel"/>
    <w:tmpl w:val="4E9E84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BDD66FE"/>
    <w:rsid w:val="4D415BD2"/>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3</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B3FBFCD80AFC44C2BEEC946FB0DE2076_13</vt:lpwstr>
  </property>
</Properties>
</file>