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国务院学位委员会办公室公布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rPr>
        <w:t>各专业学位类别的领域设置情况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2021年</w:t>
      </w: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eastAsia="zh-CN"/>
        </w:rPr>
        <w:t>）</w:t>
      </w:r>
    </w:p>
    <w:p>
      <w:pPr>
        <w:rPr>
          <w:rFonts w:hint="eastAsia"/>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近年来，随着我国经济社会发展和产业转型升级，行业企业对高层次应用型人才的需求更加旺盛，专业学位研究生教育发展备受社会关注。为方便社会各界了解高校专业学位发展情况、学生报考、用人部门查询，在各专业学位教育指导委员会报送的基础上，国务院学位委员会办公室汇总形成了各专业学位类别的领域设置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专业学位类别的领域设置主要分为两种情况，一种是下设了详细的领域，另一种是不分设领域。不分设领域的专业学位类别中，有的类别，如中医，在招生、培养中依习惯也采用了类似领域的办法，下设了中医内科学、中医外科学等，以更加凸显人才培养特色，但并未统一公布过领域；有的类别，如法律，把招生对象区分为法律（法学）和法律（非法学），但在人才培养目标上是一致的，并不属于领域设置范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下一步，国务院学位委员会办公室将组织各专业学位教育指导委员会立足社会发展需求和人才培养实际，编制发布指导性专业领域目录，推动专业学位研究生教育健康发展。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t>附件：</w:t>
      </w:r>
      <w:r>
        <w:rPr>
          <w:rFonts w:hint="eastAsia" w:ascii="Times New Roman" w:hAnsi="Times New Roman" w:eastAsia="仿宋_GB2312" w:cs="Times New Roman"/>
          <w:i w:val="0"/>
          <w:iCs w:val="0"/>
          <w:caps w:val="0"/>
          <w:color w:val="auto"/>
          <w:spacing w:val="0"/>
          <w:sz w:val="32"/>
          <w:szCs w:val="32"/>
          <w:shd w:val="clear" w:fill="FFFFFF"/>
        </w:rPr>
        <w:fldChar w:fldCharType="begin"/>
      </w:r>
      <w:r>
        <w:rPr>
          <w:rFonts w:hint="eastAsia" w:ascii="Times New Roman" w:hAnsi="Times New Roman" w:eastAsia="仿宋_GB2312" w:cs="Times New Roman"/>
          <w:i w:val="0"/>
          <w:iCs w:val="0"/>
          <w:caps w:val="0"/>
          <w:color w:val="auto"/>
          <w:spacing w:val="0"/>
          <w:sz w:val="32"/>
          <w:szCs w:val="32"/>
          <w:shd w:val="clear" w:fill="FFFFFF"/>
        </w:rPr>
        <w:instrText xml:space="preserve"> HYPERLINK "http://www.moe.gov.cn/jyb_xwfb/gzdt_gzdt/s5987/202101/W020210113350936187903.docx" \t "http://www.moe.gov.cn/jyb_xwfb/gzdt_gzdt/s5987/202101/_blank" </w:instrText>
      </w:r>
      <w:r>
        <w:rPr>
          <w:rFonts w:hint="eastAsia" w:ascii="Times New Roman" w:hAnsi="Times New Roman" w:eastAsia="仿宋_GB2312" w:cs="Times New Roman"/>
          <w:i w:val="0"/>
          <w:iCs w:val="0"/>
          <w:caps w:val="0"/>
          <w:color w:val="auto"/>
          <w:spacing w:val="0"/>
          <w:sz w:val="32"/>
          <w:szCs w:val="32"/>
          <w:shd w:val="clear" w:fill="FFFFFF"/>
        </w:rPr>
        <w:fldChar w:fldCharType="separate"/>
      </w:r>
      <w:r>
        <w:rPr>
          <w:rFonts w:hint="eastAsia" w:ascii="Times New Roman" w:hAnsi="Times New Roman" w:eastAsia="仿宋_GB2312" w:cs="Times New Roman"/>
          <w:i w:val="0"/>
          <w:iCs w:val="0"/>
          <w:caps w:val="0"/>
          <w:color w:val="auto"/>
          <w:spacing w:val="0"/>
          <w:sz w:val="32"/>
          <w:szCs w:val="32"/>
          <w:shd w:val="clear" w:fill="FFFFFF"/>
        </w:rPr>
        <w:t>各专业学位类别的领域设置情况</w:t>
      </w:r>
      <w:r>
        <w:rPr>
          <w:rFonts w:hint="eastAsia" w:ascii="Times New Roman" w:hAnsi="Times New Roman" w:eastAsia="仿宋_GB2312" w:cs="Times New Roman"/>
          <w:i w:val="0"/>
          <w:iCs w:val="0"/>
          <w:caps w:val="0"/>
          <w:color w:val="auto"/>
          <w:spacing w:val="0"/>
          <w:sz w:val="32"/>
          <w:szCs w:val="32"/>
          <w:shd w:val="clear" w:fill="FFFFFF"/>
        </w:rPr>
        <w:fldChar w:fldCharType="end"/>
      </w:r>
      <w:bookmarkStart w:id="0" w:name="_GoBack"/>
      <w:bookmarkEnd w:id="0"/>
    </w:p>
    <w:p>
      <w:pPr>
        <w:rPr>
          <w:rFonts w:hint="eastAsia" w:ascii="Times New Roman" w:hAnsi="Times New Roman" w:eastAsia="仿宋_GB2312" w:cs="Times New Roman"/>
          <w:i w:val="0"/>
          <w:iCs w:val="0"/>
          <w:caps w:val="0"/>
          <w:color w:val="auto"/>
          <w:spacing w:val="0"/>
          <w:sz w:val="32"/>
          <w:szCs w:val="32"/>
          <w:shd w:val="clear" w:fill="FFFFFF"/>
        </w:rPr>
      </w:pPr>
      <w:r>
        <w:rPr>
          <w:rFonts w:hint="eastAsia" w:ascii="Times New Roman" w:hAnsi="Times New Roman" w:eastAsia="仿宋_GB2312" w:cs="Times New Roman"/>
          <w:i w:val="0"/>
          <w:iCs w:val="0"/>
          <w:caps w:val="0"/>
          <w:color w:val="auto"/>
          <w:spacing w:val="0"/>
          <w:sz w:val="32"/>
          <w:szCs w:val="32"/>
          <w:shd w:val="clear" w:fill="FFFFFF"/>
        </w:rPr>
        <w:br w:type="page"/>
      </w:r>
    </w:p>
    <w:p>
      <w:pPr>
        <w:widowControl/>
        <w:spacing w:line="560" w:lineRule="exact"/>
        <w:jc w:val="left"/>
        <w:textAlignment w:val="center"/>
        <w:rPr>
          <w:rFonts w:hint="eastAsia" w:ascii="黑体" w:hAnsi="黑体" w:eastAsia="黑体" w:cs="方正小标宋简体"/>
          <w:color w:val="000000"/>
          <w:kern w:val="0"/>
          <w:sz w:val="28"/>
          <w:szCs w:val="28"/>
          <w:lang w:eastAsia="zh-CN" w:bidi="ar"/>
        </w:rPr>
      </w:pPr>
      <w:r>
        <w:rPr>
          <w:rFonts w:hint="eastAsia" w:ascii="黑体" w:hAnsi="黑体" w:eastAsia="黑体" w:cs="方正小标宋简体"/>
          <w:color w:val="000000"/>
          <w:kern w:val="0"/>
          <w:sz w:val="28"/>
          <w:szCs w:val="28"/>
          <w:lang w:bidi="ar"/>
        </w:rPr>
        <w:t>附件</w:t>
      </w:r>
      <w:r>
        <w:rPr>
          <w:rFonts w:hint="eastAsia" w:ascii="黑体" w:hAnsi="黑体" w:eastAsia="黑体" w:cs="方正小标宋简体"/>
          <w:color w:val="000000"/>
          <w:kern w:val="0"/>
          <w:sz w:val="28"/>
          <w:szCs w:val="28"/>
          <w:lang w:eastAsia="zh-CN" w:bidi="ar"/>
        </w:rPr>
        <w:t>：</w:t>
      </w:r>
    </w:p>
    <w:p>
      <w:pPr>
        <w:widowControl/>
        <w:spacing w:line="560" w:lineRule="exact"/>
        <w:jc w:val="left"/>
        <w:textAlignment w:val="center"/>
        <w:rPr>
          <w:rFonts w:ascii="黑体" w:hAnsi="黑体" w:eastAsia="黑体" w:cs="方正小标宋简体"/>
          <w:color w:val="000000"/>
          <w:kern w:val="0"/>
          <w:sz w:val="32"/>
          <w:szCs w:val="32"/>
          <w:lang w:bidi="ar"/>
        </w:rPr>
      </w:pPr>
    </w:p>
    <w:p>
      <w:pPr>
        <w:widowControl/>
        <w:spacing w:line="560" w:lineRule="exact"/>
        <w:jc w:val="center"/>
        <w:textAlignment w:val="center"/>
        <w:rPr>
          <w:rFonts w:ascii="方正小标宋简体" w:hAnsi="方正小标宋简体" w:eastAsia="方正小标宋简体" w:cs="方正小标宋简体"/>
          <w:color w:val="000000"/>
          <w:kern w:val="0"/>
          <w:sz w:val="40"/>
          <w:szCs w:val="40"/>
          <w:lang w:bidi="ar"/>
        </w:rPr>
      </w:pPr>
      <w:r>
        <w:rPr>
          <w:rFonts w:hint="eastAsia" w:ascii="方正小标宋简体" w:hAnsi="方正小标宋简体" w:eastAsia="方正小标宋简体" w:cs="方正小标宋简体"/>
          <w:color w:val="000000"/>
          <w:kern w:val="0"/>
          <w:sz w:val="40"/>
          <w:szCs w:val="40"/>
          <w:lang w:bidi="ar"/>
        </w:rPr>
        <w:t>各专业学位类别的领域设置情况</w:t>
      </w:r>
    </w:p>
    <w:p>
      <w:pPr>
        <w:widowControl/>
        <w:spacing w:line="560" w:lineRule="exact"/>
        <w:jc w:val="center"/>
        <w:textAlignment w:val="center"/>
        <w:rPr>
          <w:rFonts w:ascii="方正小标宋简体" w:hAnsi="方正小标宋简体" w:eastAsia="方正小标宋简体" w:cs="方正小标宋简体"/>
          <w:color w:val="000000"/>
          <w:kern w:val="0"/>
          <w:sz w:val="40"/>
          <w:szCs w:val="40"/>
          <w:lang w:bidi="ar"/>
        </w:rPr>
      </w:pP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0251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金融</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0252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应用统计</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0253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税务</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0254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国际商务</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0255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保险</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0256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资产评估</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0257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审计</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0351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法律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0352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社会工作</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0353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警务</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0451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教育管理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学科教学（思政）</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学科教学（语文）</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学科教学（数学）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学科教学（物理）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学科教学（化学）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045107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学科教学（生物）</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045108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学科教学（英语）</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045109</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学科教学（历史）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045110</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学科教学（地理）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学科教学（音乐）</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学科教学（体育）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学科教学（美术）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现代教育技术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小学教育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心理健康教育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科学与技术教育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学前教育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045119</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特殊教育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045120</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职业技术教育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045171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学校课程与教学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045172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学生发展与教育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045173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教育领导与管理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045174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汉语国际教育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注:045171、045172、045173、045174仅限博士层次。</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0452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体育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045201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体育教学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045202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运动训练</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045203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竞赛组织管理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045204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社会体育指导</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0453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汉语国际教育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0454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应用心理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0551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翻译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英语笔译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英语口译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俄语笔译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俄语口译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日语笔译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日语口译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055107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法语笔译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055108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法语口译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055109</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德语笔译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055110</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德语口译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朝鲜语笔译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朝鲜语口译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西班牙语笔译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西班牙语口译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阿拉伯语笔译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阿拉伯语口译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泰语笔译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泰语口译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055119</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意大利语笔译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055120</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意大利语口译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055121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越南语笔译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055122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越南语口译</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0552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新闻与传播</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0553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出版</w:t>
      </w:r>
      <w:r>
        <w:rPr>
          <w:rFonts w:hint="default" w:ascii="Times New Roman" w:hAnsi="Times New Roman" w:eastAsia="仿宋_GB2312" w:cs="Times New Roman"/>
          <w:color w:val="000000"/>
          <w:kern w:val="0"/>
          <w:sz w:val="32"/>
          <w:szCs w:val="32"/>
          <w:lang w:bidi="ar"/>
        </w:rPr>
        <w:tab/>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0651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文物与博物馆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065101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考古学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065102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博物馆学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065103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文化遗产</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065104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文物保护</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建筑学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0853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城市规划</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0854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电子信息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新一代电子信息技术（含量子技术等）</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通信工程（含宽带网络、移动通信等）</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集成电路工程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计算机技术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软件工程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控制工程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085407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仪器仪表工程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085408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光电信息工程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085409</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生物医学工程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085410</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人工智能</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085411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大数据技术与工程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085412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网络与信息安全</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0855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机械</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机械工程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车辆工程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航空工程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航天工程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船舶工程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兵器工程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085507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工业设计工程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085508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农机装备工程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085509</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智能制造技术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085510</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机器人工程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0856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材料与化工</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085601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材料工程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085602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化学工程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085603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冶金工程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085604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纺织工程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085605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林业工程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085606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轻化工程（含皮革、纸张、织物加工等）</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0857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资源与环境</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085701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环境工程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085702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安全工程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085703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地质工程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085704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测绘工程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085705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矿业工程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085706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石油与天然气工程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0858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能源动力</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085801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电气工程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085802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动力工程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085803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核能工程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085804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航空发动机工程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085805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燃气轮机工程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085806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航天动力工程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085807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清洁能源技术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085808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储能技术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0859</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土木水利</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085901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土木工程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085902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水利工程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085903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海洋工程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085904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农田水土工程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085905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市政工程（含给排水等）</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085906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人工环境工程（含供热、通风及空调等）</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0860</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生物与医药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086001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生物技术与工程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086002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制药工程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086003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食品工程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086004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发酵工程</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0861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交通运输</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086101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轨道交通运输</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086102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道路交通运输</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086103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水路交通运输</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086104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航空交通运输</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086105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管道交通运输</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0951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农业</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095131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农艺与种业</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095132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资源利用与植物保护</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095133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畜牧</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095134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渔业发展</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095135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食品加工与安全</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095136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农业工程与信息技术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095137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农业管理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095138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农村发展</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0952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兽医</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0953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风景园林</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0954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林业</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1051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临床医学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内科学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儿科学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老年医学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神经病学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精神病与精神卫生学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皮肤病与性病学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105107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急诊医学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105108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重症医学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105109</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全科医学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105110</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康复医学与理疗学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外科学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儿外科学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骨科学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运动医学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妇产科学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眼科学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耳鼻咽喉科学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麻醉学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105119</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临床病理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105120</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临床检验诊断学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105121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肿瘤学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105122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放射肿瘤学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105123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放射影像学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105124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超声医学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105125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核医学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105126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医学遗传学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1052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口腔医学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1053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公共卫生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1054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护理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1055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药学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1056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中药学</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1057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中医</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1251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工商管理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1252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公共管理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1253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会计</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1254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旅游管理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1255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图书情报</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（不分设领域）</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1256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工程管理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125601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工程管理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125602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项目管理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125603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工业工程与管理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125604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物流工程与管理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b/>
          <w:bCs/>
          <w:color w:val="000000"/>
          <w:kern w:val="0"/>
          <w:sz w:val="32"/>
          <w:szCs w:val="32"/>
          <w:lang w:bidi="ar"/>
        </w:rPr>
        <w:t>1351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艺术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135101</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音乐</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135102</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戏剧</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135103</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戏曲</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135104</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电影</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135105</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广播电视</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135106</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舞蹈</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135107</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美术</w:t>
      </w:r>
    </w:p>
    <w:p>
      <w:pPr>
        <w:widowControl/>
        <w:spacing w:line="560" w:lineRule="exact"/>
        <w:ind w:left="1050" w:leftChars="500"/>
        <w:jc w:val="left"/>
        <w:textAlignment w:val="center"/>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135108</w:t>
      </w:r>
      <w:r>
        <w:rPr>
          <w:rFonts w:hint="default" w:ascii="Times New Roman" w:hAnsi="Times New Roman" w:eastAsia="仿宋_GB2312" w:cs="Times New Roman"/>
          <w:color w:val="000000"/>
          <w:kern w:val="0"/>
          <w:sz w:val="32"/>
          <w:szCs w:val="32"/>
          <w:lang w:bidi="ar"/>
        </w:rPr>
        <w:tab/>
      </w:r>
      <w:r>
        <w:rPr>
          <w:rFonts w:hint="default" w:ascii="Times New Roman" w:hAnsi="Times New Roman" w:eastAsia="仿宋_GB2312" w:cs="Times New Roman"/>
          <w:color w:val="000000"/>
          <w:kern w:val="0"/>
          <w:sz w:val="32"/>
          <w:szCs w:val="32"/>
          <w:lang w:bidi="ar"/>
        </w:rPr>
        <w:t>艺术设计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Times New Roman" w:hAnsi="Times New Roman" w:eastAsia="仿宋_GB2312" w:cs="Times New Roman"/>
          <w:i w:val="0"/>
          <w:iCs w:val="0"/>
          <w:caps w:val="0"/>
          <w:color w:val="auto"/>
          <w:spacing w:val="0"/>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xMTIxNjY4ODdlZjNkOGY3NGFmMjliOTk3ZDllNjgifQ=="/>
  </w:docVars>
  <w:rsids>
    <w:rsidRoot w:val="00000000"/>
    <w:rsid w:val="164001E4"/>
    <w:rsid w:val="1B486792"/>
    <w:rsid w:val="25BF0DFD"/>
    <w:rsid w:val="25C33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2022-12-02T07:14:00Z</dcterms:created>
  <dc:creator>gwyk</dc:creator>
  <cp:lastModifiedBy>gwyk</cp:lastModifiedBy>
  <dcterms:modified xsi:type="dcterms:W3CDTF">2022-12-02T07:21:21Z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CA34EBDAC08747C189B74FBED877ACD0</vt:lpwstr>
  </property>
</Properties>
</file>