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89" w:rsidRPr="009F6E89" w:rsidRDefault="009F6E89" w:rsidP="009F6E89">
      <w:pPr>
        <w:widowControl/>
        <w:shd w:val="clear" w:color="auto" w:fill="FFFFFF"/>
        <w:jc w:val="left"/>
        <w:rPr>
          <w:rFonts w:ascii="Arial" w:eastAsia="宋体" w:hAnsi="Arial" w:cs="Arial"/>
          <w:color w:val="333333"/>
          <w:kern w:val="0"/>
          <w:sz w:val="24"/>
          <w:szCs w:val="24"/>
        </w:rPr>
      </w:pPr>
      <w:r w:rsidRPr="009F6E89">
        <w:rPr>
          <w:rFonts w:ascii="Arial" w:eastAsia="宋体" w:hAnsi="Arial" w:cs="Arial"/>
          <w:color w:val="333333"/>
          <w:kern w:val="0"/>
          <w:sz w:val="24"/>
          <w:szCs w:val="24"/>
        </w:rPr>
        <w:t>附件：雄安宣武医院</w:t>
      </w:r>
      <w:r w:rsidRPr="009F6E89">
        <w:rPr>
          <w:rFonts w:ascii="Arial" w:eastAsia="宋体" w:hAnsi="Arial" w:cs="Arial"/>
          <w:color w:val="333333"/>
          <w:kern w:val="0"/>
          <w:sz w:val="24"/>
          <w:szCs w:val="24"/>
        </w:rPr>
        <w:t>2024</w:t>
      </w:r>
      <w:r w:rsidRPr="009F6E89">
        <w:rPr>
          <w:rFonts w:ascii="Arial" w:eastAsia="宋体" w:hAnsi="Arial" w:cs="Arial"/>
          <w:color w:val="333333"/>
          <w:kern w:val="0"/>
          <w:sz w:val="24"/>
          <w:szCs w:val="24"/>
        </w:rPr>
        <w:t>年度</w:t>
      </w:r>
      <w:r w:rsidRPr="009F6E89">
        <w:rPr>
          <w:rFonts w:ascii="Arial" w:eastAsia="宋体" w:hAnsi="Arial" w:cs="Arial"/>
          <w:color w:val="333333"/>
          <w:kern w:val="0"/>
          <w:sz w:val="24"/>
          <w:szCs w:val="24"/>
        </w:rPr>
        <w:t>“</w:t>
      </w:r>
      <w:r w:rsidRPr="009F6E89">
        <w:rPr>
          <w:rFonts w:ascii="Arial" w:eastAsia="宋体" w:hAnsi="Arial" w:cs="Arial"/>
          <w:color w:val="333333"/>
          <w:kern w:val="0"/>
          <w:sz w:val="24"/>
          <w:szCs w:val="24"/>
        </w:rPr>
        <w:t>特岗特薪</w:t>
      </w:r>
      <w:r w:rsidRPr="009F6E89">
        <w:rPr>
          <w:rFonts w:ascii="Arial" w:eastAsia="宋体" w:hAnsi="Arial" w:cs="Arial"/>
          <w:color w:val="333333"/>
          <w:kern w:val="0"/>
          <w:sz w:val="24"/>
          <w:szCs w:val="24"/>
        </w:rPr>
        <w:t>”</w:t>
      </w:r>
      <w:r w:rsidRPr="009F6E89">
        <w:rPr>
          <w:rFonts w:ascii="Arial" w:eastAsia="宋体" w:hAnsi="Arial" w:cs="Arial"/>
          <w:color w:val="333333"/>
          <w:kern w:val="0"/>
          <w:sz w:val="24"/>
          <w:szCs w:val="24"/>
        </w:rPr>
        <w:t>人才引进职位表</w:t>
      </w:r>
    </w:p>
    <w:p w:rsidR="009F6E89" w:rsidRPr="009F6E89" w:rsidRDefault="009F6E89" w:rsidP="009F6E89">
      <w:pPr>
        <w:widowControl/>
        <w:shd w:val="clear" w:color="auto" w:fill="FFFFFF"/>
        <w:spacing w:before="240"/>
        <w:jc w:val="left"/>
        <w:rPr>
          <w:rFonts w:ascii="Arial" w:eastAsia="宋体" w:hAnsi="Arial" w:cs="Arial"/>
          <w:color w:val="333333"/>
          <w:kern w:val="0"/>
          <w:sz w:val="24"/>
          <w:szCs w:val="24"/>
        </w:rPr>
      </w:pPr>
      <w:r w:rsidRPr="009F6E89">
        <w:rPr>
          <w:rFonts w:ascii="Arial" w:eastAsia="宋体" w:hAnsi="Arial" w:cs="Arial"/>
          <w:color w:val="333333"/>
          <w:kern w:val="0"/>
          <w:sz w:val="24"/>
          <w:szCs w:val="24"/>
        </w:rPr>
        <w:t> </w:t>
      </w:r>
    </w:p>
    <w:tbl>
      <w:tblPr>
        <w:tblW w:w="13544" w:type="dxa"/>
        <w:shd w:val="clear" w:color="auto" w:fill="FFFFFF"/>
        <w:tblCellMar>
          <w:left w:w="0" w:type="dxa"/>
          <w:right w:w="0" w:type="dxa"/>
        </w:tblCellMar>
        <w:tblLook w:val="04A0"/>
      </w:tblPr>
      <w:tblGrid>
        <w:gridCol w:w="632"/>
        <w:gridCol w:w="1204"/>
        <w:gridCol w:w="5056"/>
        <w:gridCol w:w="783"/>
        <w:gridCol w:w="5869"/>
      </w:tblGrid>
      <w:tr w:rsidR="009F6E89" w:rsidRPr="009F6E89" w:rsidTr="009F6E89">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序号</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岗位名称</w:t>
            </w:r>
          </w:p>
        </w:tc>
        <w:tc>
          <w:tcPr>
            <w:tcW w:w="50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岗位职责</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人员需求数量</w:t>
            </w:r>
          </w:p>
        </w:tc>
        <w:tc>
          <w:tcPr>
            <w:tcW w:w="5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基本条件</w:t>
            </w:r>
          </w:p>
        </w:tc>
      </w:tr>
      <w:tr w:rsidR="009F6E89" w:rsidRPr="009F6E89" w:rsidTr="009F6E89">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1</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首席专家</w:t>
            </w:r>
          </w:p>
        </w:tc>
        <w:tc>
          <w:tcPr>
            <w:tcW w:w="50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1.学科领导和管理：明确学科发展目标，制定学科发展规划，根据医院和学科的需求调整学科布局，提高学科的整体水平和学术声誉。</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2.临床工作和指导：参与临床工作，解决临床难题，确保医疗服务质量和安全，推动医疗技术的发展和创新。</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3.学术研究与创新：关注学科前沿动态，积极参与科研和学术交流与合作，提高学术影响力。</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4.教学指导：指导和培养学科内的医学生、实习生、住院医生等，传授专业知识和技能。</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5.人才培养与管理：根据学科发展需要，建设和培养一支高素质的学科团队，提高团队的整体学术水平和创新能力。</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6.宣传与科普：参与公众宣传、科普活动以及媒体交流，向公众传递医学知识，提高公众健康意识。</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1</w:t>
            </w:r>
          </w:p>
        </w:tc>
        <w:tc>
          <w:tcPr>
            <w:tcW w:w="5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达到以下条件之一，并经医院学术委员会审议通过：</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1.“国家重点人才工程”项目领军类人才入选者;</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2.国务院政府特殊津贴专家；</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3.国家自然科学奖、国家技术发明奖、国家科技进步奖一等奖前三名、二等奖第一名获得者；</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4.国家重大科研任务、重大科技计划或工程项目负责人或国家级重点实验室或工程中心学术带头人;</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5.以通讯作者在</w:t>
            </w:r>
            <w:r w:rsidRPr="009F6E89">
              <w:rPr>
                <w:rFonts w:ascii="宋体" w:eastAsia="宋体" w:hAnsi="宋体" w:cs="宋体" w:hint="eastAsia"/>
                <w:color w:val="333333"/>
                <w:kern w:val="0"/>
                <w:sz w:val="20"/>
                <w:szCs w:val="20"/>
              </w:rPr>
              <w:t> </w:t>
            </w:r>
            <w:r w:rsidRPr="009F6E89">
              <w:rPr>
                <w:rFonts w:ascii="黑体" w:eastAsia="黑体" w:hAnsi="黑体" w:cs="黑体" w:hint="eastAsia"/>
                <w:color w:val="333333"/>
                <w:kern w:val="0"/>
                <w:sz w:val="20"/>
                <w:szCs w:val="20"/>
              </w:rPr>
              <w:t>Nature</w:t>
            </w:r>
            <w:r w:rsidRPr="009F6E89">
              <w:rPr>
                <w:rFonts w:ascii="黑体" w:eastAsia="黑体" w:hAnsi="黑体" w:cs="宋体" w:hint="eastAsia"/>
                <w:color w:val="333333"/>
                <w:kern w:val="0"/>
                <w:sz w:val="20"/>
                <w:szCs w:val="20"/>
              </w:rPr>
              <w:t>、Science、Cel1、 Lancet、 The New England Journal of Medicine(NEJM) 等期刊主刊之一发表原创性研究论文1篇及以上，或发表 SCI 收录期刊的原创性研究论文影响因子累计100分或单篇60分及以上的人才；</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6.担任过中华医学会或中国医师协会国家级相应专业一级分会的主任委员，且以第一作者或通讯作者发表</w:t>
            </w:r>
            <w:r w:rsidRPr="009F6E89">
              <w:rPr>
                <w:rFonts w:ascii="宋体" w:eastAsia="宋体" w:hAnsi="宋体" w:cs="宋体" w:hint="eastAsia"/>
                <w:color w:val="333333"/>
                <w:kern w:val="0"/>
                <w:sz w:val="20"/>
                <w:szCs w:val="20"/>
              </w:rPr>
              <w:t> </w:t>
            </w:r>
            <w:r w:rsidRPr="009F6E89">
              <w:rPr>
                <w:rFonts w:ascii="黑体" w:eastAsia="黑体" w:hAnsi="黑体" w:cs="黑体" w:hint="eastAsia"/>
                <w:color w:val="333333"/>
                <w:kern w:val="0"/>
                <w:sz w:val="20"/>
                <w:szCs w:val="20"/>
              </w:rPr>
              <w:t xml:space="preserve">SCI </w:t>
            </w:r>
            <w:r w:rsidRPr="009F6E89">
              <w:rPr>
                <w:rFonts w:ascii="黑体" w:eastAsia="黑体" w:hAnsi="黑体" w:cs="宋体" w:hint="eastAsia"/>
                <w:color w:val="333333"/>
                <w:kern w:val="0"/>
                <w:sz w:val="20"/>
                <w:szCs w:val="20"/>
              </w:rPr>
              <w:t>收录期刊的原创性研究论文影响因子累计40分或单篇20分及以上的临床医技专家;</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7.国家级名老中医；</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8.“南丁格尔奖”获得者；</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9.经评定具有相当水平的专家。</w:t>
            </w:r>
          </w:p>
        </w:tc>
      </w:tr>
      <w:tr w:rsidR="009F6E89" w:rsidRPr="009F6E89" w:rsidTr="009F6E89">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序号</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岗位名称</w:t>
            </w:r>
          </w:p>
        </w:tc>
        <w:tc>
          <w:tcPr>
            <w:tcW w:w="50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岗位职责</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人员需求数量</w:t>
            </w:r>
          </w:p>
        </w:tc>
        <w:tc>
          <w:tcPr>
            <w:tcW w:w="5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基本条件</w:t>
            </w:r>
          </w:p>
        </w:tc>
      </w:tr>
      <w:tr w:rsidR="009F6E89" w:rsidRPr="009F6E89" w:rsidTr="009F6E89">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2</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资深专家</w:t>
            </w:r>
          </w:p>
        </w:tc>
        <w:tc>
          <w:tcPr>
            <w:tcW w:w="50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1.临床工作与患者治疗：开展临床工作并参与患者的诊断和治疗，制定治疗方案并监督疾病的进展，为患者提供高</w:t>
            </w:r>
            <w:r w:rsidRPr="009F6E89">
              <w:rPr>
                <w:rFonts w:ascii="黑体" w:eastAsia="黑体" w:hAnsi="黑体" w:cs="宋体" w:hint="eastAsia"/>
                <w:color w:val="333333"/>
                <w:kern w:val="0"/>
                <w:sz w:val="20"/>
                <w:szCs w:val="20"/>
              </w:rPr>
              <w:lastRenderedPageBreak/>
              <w:t>水平的医疗服务。</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2.科研与学术研究：参与或主导相关的科研项目，开展医学研究，推动学科的创新和发展，为医院提供最新的医疗技术和治疗方法。</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3.教育与培训：指导和培养医学人才，提升医院整体的医疗水平。</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4.宣传与科普：参与公众宣传、科普活动以及媒体交流，向公众传递医学知识，提高公众健康意识。</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lastRenderedPageBreak/>
              <w:t>1</w:t>
            </w:r>
          </w:p>
        </w:tc>
        <w:tc>
          <w:tcPr>
            <w:tcW w:w="5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达到以下条件之一，并经医院学术委员会审议通过：</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1.入选省级学科带头人层次人才项目；</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lastRenderedPageBreak/>
              <w:t>2.国家自然科学奖、国家技术发明奖、国家科技进步奖二等奖及以上获得者（前三位完成人）；</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3.获得省部级科学技术奖或省级科技成果二等奖及以上(第一完成人)；</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4.在国内外大型医院（医学中心）、知名大学附属三级甲等医院工作5年以上的，有担任学科带头人资历，或者担任国家级学会或协会一级分会相关专业委员会常委以上，或省级学会或协会一级分会专业委员会副主任委员以上职务；</w:t>
            </w:r>
          </w:p>
          <w:p w:rsidR="009F6E89" w:rsidRPr="009F6E89" w:rsidRDefault="009F6E89" w:rsidP="009F6E89">
            <w:pPr>
              <w:widowControl/>
              <w:rPr>
                <w:rFonts w:ascii="Arial" w:eastAsia="宋体" w:hAnsi="Arial" w:cs="Arial"/>
                <w:color w:val="333333"/>
                <w:kern w:val="0"/>
                <w:sz w:val="24"/>
                <w:szCs w:val="24"/>
              </w:rPr>
            </w:pPr>
            <w:r w:rsidRPr="009F6E89">
              <w:rPr>
                <w:rFonts w:ascii="黑体" w:eastAsia="黑体" w:hAnsi="黑体" w:cs="Arial" w:hint="eastAsia"/>
                <w:color w:val="333333"/>
                <w:kern w:val="0"/>
                <w:sz w:val="20"/>
                <w:szCs w:val="20"/>
              </w:rPr>
              <w:t>5.在地市级以上三甲医院从事相应专业工作10年以上，聘任为正高级职称，掌握引领专业发展的主要关键诊疗技术，能填补医院技术短板（我院尚没有的新技术、新项目），有能力带领学科独立开展创新性临床诊疗技术项目并产生明显社会或经济效益,推动学科建设与发展；且以第一作者（或通讯作者）发表</w:t>
            </w:r>
            <w:r w:rsidRPr="009F6E89">
              <w:rPr>
                <w:rFonts w:ascii="宋体" w:eastAsia="宋体" w:hAnsi="宋体" w:cs="宋体" w:hint="eastAsia"/>
                <w:color w:val="333333"/>
                <w:kern w:val="0"/>
                <w:sz w:val="20"/>
                <w:szCs w:val="20"/>
              </w:rPr>
              <w:t> </w:t>
            </w:r>
            <w:r w:rsidRPr="009F6E89">
              <w:rPr>
                <w:rFonts w:ascii="黑体" w:eastAsia="黑体" w:hAnsi="黑体" w:cs="黑体" w:hint="eastAsia"/>
                <w:color w:val="333333"/>
                <w:kern w:val="0"/>
                <w:sz w:val="20"/>
                <w:szCs w:val="20"/>
              </w:rPr>
              <w:t>SCI</w:t>
            </w:r>
            <w:r w:rsidRPr="009F6E89">
              <w:rPr>
                <w:rFonts w:ascii="宋体" w:eastAsia="宋体" w:hAnsi="宋体" w:cs="宋体" w:hint="eastAsia"/>
                <w:color w:val="333333"/>
                <w:kern w:val="0"/>
                <w:sz w:val="20"/>
                <w:szCs w:val="20"/>
              </w:rPr>
              <w:t> </w:t>
            </w:r>
            <w:r w:rsidRPr="009F6E89">
              <w:rPr>
                <w:rFonts w:ascii="黑体" w:eastAsia="黑体" w:hAnsi="黑体" w:cs="Arial" w:hint="eastAsia"/>
                <w:color w:val="333333"/>
                <w:kern w:val="0"/>
                <w:sz w:val="20"/>
                <w:szCs w:val="20"/>
              </w:rPr>
              <w:t>收录期刊的原创性研究论文影响因子累计20分及以上或国家自然科学基金等国家级科研项目负责人；</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6.海外担任副教授及以上或相当职务，在医、教、研、管等某个领域有较深的造诣，取得同行公认的显著成绩；</w:t>
            </w:r>
          </w:p>
          <w:p w:rsidR="009F6E89" w:rsidRPr="009F6E89" w:rsidRDefault="009F6E89" w:rsidP="009F6E89">
            <w:pPr>
              <w:widowControl/>
              <w:jc w:val="left"/>
              <w:rPr>
                <w:rFonts w:ascii="Arial" w:eastAsia="宋体" w:hAnsi="Arial" w:cs="Arial"/>
                <w:color w:val="333333"/>
                <w:kern w:val="0"/>
                <w:sz w:val="24"/>
                <w:szCs w:val="24"/>
              </w:rPr>
            </w:pPr>
            <w:r w:rsidRPr="009F6E89">
              <w:rPr>
                <w:rFonts w:ascii="黑体" w:eastAsia="黑体" w:hAnsi="黑体" w:cs="Arial" w:hint="eastAsia"/>
                <w:color w:val="333333"/>
                <w:kern w:val="0"/>
                <w:sz w:val="20"/>
                <w:szCs w:val="20"/>
              </w:rPr>
              <w:t>7.高等院校省重点学科带头人；</w:t>
            </w:r>
          </w:p>
          <w:p w:rsidR="009F6E89" w:rsidRPr="009F6E89" w:rsidRDefault="009F6E89" w:rsidP="009F6E89">
            <w:pPr>
              <w:widowControl/>
              <w:jc w:val="left"/>
              <w:rPr>
                <w:rFonts w:ascii="Arial" w:eastAsia="宋体" w:hAnsi="Arial" w:cs="Arial"/>
                <w:color w:val="333333"/>
                <w:kern w:val="0"/>
                <w:sz w:val="24"/>
                <w:szCs w:val="24"/>
              </w:rPr>
            </w:pPr>
            <w:r w:rsidRPr="009F6E89">
              <w:rPr>
                <w:rFonts w:ascii="黑体" w:eastAsia="黑体" w:hAnsi="黑体" w:cs="Arial" w:hint="eastAsia"/>
                <w:color w:val="333333"/>
                <w:kern w:val="0"/>
                <w:sz w:val="20"/>
                <w:szCs w:val="20"/>
              </w:rPr>
              <w:t>8.青年岐黄学者；</w:t>
            </w:r>
          </w:p>
          <w:p w:rsidR="009F6E89" w:rsidRPr="009F6E89" w:rsidRDefault="009F6E89" w:rsidP="009F6E89">
            <w:pPr>
              <w:widowControl/>
              <w:jc w:val="left"/>
              <w:rPr>
                <w:rFonts w:ascii="Arial" w:eastAsia="宋体" w:hAnsi="Arial" w:cs="Arial"/>
                <w:color w:val="333333"/>
                <w:kern w:val="0"/>
                <w:sz w:val="24"/>
                <w:szCs w:val="24"/>
              </w:rPr>
            </w:pPr>
            <w:r w:rsidRPr="009F6E89">
              <w:rPr>
                <w:rFonts w:ascii="黑体" w:eastAsia="黑体" w:hAnsi="黑体" w:cs="Arial" w:hint="eastAsia"/>
                <w:color w:val="333333"/>
                <w:kern w:val="0"/>
                <w:sz w:val="20"/>
                <w:szCs w:val="20"/>
              </w:rPr>
              <w:t>9.全国或市级中医药专家学术经验继承工作指导老师；</w:t>
            </w:r>
          </w:p>
          <w:p w:rsidR="009F6E89" w:rsidRPr="009F6E89" w:rsidRDefault="009F6E89" w:rsidP="009F6E89">
            <w:pPr>
              <w:widowControl/>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10.经评定具有相当水平的专家。</w:t>
            </w:r>
          </w:p>
        </w:tc>
      </w:tr>
      <w:tr w:rsidR="009F6E89" w:rsidRPr="009F6E89" w:rsidTr="009F6E89">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lastRenderedPageBreak/>
              <w:t>序号</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岗位名称</w:t>
            </w:r>
          </w:p>
        </w:tc>
        <w:tc>
          <w:tcPr>
            <w:tcW w:w="50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岗位职责</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人员需求数量</w:t>
            </w:r>
          </w:p>
        </w:tc>
        <w:tc>
          <w:tcPr>
            <w:tcW w:w="5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基本条件</w:t>
            </w:r>
          </w:p>
        </w:tc>
      </w:tr>
      <w:tr w:rsidR="009F6E89" w:rsidRPr="009F6E89" w:rsidTr="009F6E89">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3</w:t>
            </w:r>
          </w:p>
        </w:tc>
        <w:tc>
          <w:tcPr>
            <w:tcW w:w="12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青年</w:t>
            </w:r>
          </w:p>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科学家</w:t>
            </w:r>
          </w:p>
        </w:tc>
        <w:tc>
          <w:tcPr>
            <w:tcW w:w="504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1.基本素质：热爱本职工作，恪守职业道德，严格执行医院各类诊疗常规、技术操作常规和病历书写规范，主动与医患沟通，主动避免医疗纠纷，杜绝差错和事故。</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lastRenderedPageBreak/>
              <w:t>2.临床诊疗：在科主任指导下开展临床工作，制定治疗方案并监督疾病的进展，为患者提供高水平的医疗服务。</w:t>
            </w:r>
          </w:p>
          <w:p w:rsidR="009F6E89" w:rsidRPr="009F6E89" w:rsidRDefault="009F6E89" w:rsidP="009F6E89">
            <w:pPr>
              <w:widowControl/>
              <w:jc w:val="left"/>
              <w:rPr>
                <w:rFonts w:ascii="Arial" w:eastAsia="宋体" w:hAnsi="Arial" w:cs="Arial"/>
                <w:color w:val="333333"/>
                <w:kern w:val="0"/>
                <w:sz w:val="24"/>
                <w:szCs w:val="24"/>
              </w:rPr>
            </w:pPr>
            <w:r w:rsidRPr="009F6E89">
              <w:rPr>
                <w:rFonts w:ascii="黑体" w:eastAsia="黑体" w:hAnsi="黑体" w:cs="Arial" w:hint="eastAsia"/>
                <w:color w:val="333333"/>
                <w:kern w:val="0"/>
                <w:sz w:val="20"/>
                <w:szCs w:val="20"/>
              </w:rPr>
              <w:t>3.科研与学术创新：认真学习和应用国内外先进的医学科学技术，积极开展新技术、新疗法和科学研究，积极开展医学研究，推动学科创新发展。</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4.宣传与科普：参与公众宣传、科普活动以及媒体交流，向公众传递医学知识，提高公众健康意识。</w:t>
            </w:r>
          </w:p>
        </w:tc>
        <w:tc>
          <w:tcPr>
            <w:tcW w:w="7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center"/>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lastRenderedPageBreak/>
              <w:t>1</w:t>
            </w:r>
          </w:p>
        </w:tc>
        <w:tc>
          <w:tcPr>
            <w:tcW w:w="585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达到以下条件之一，并经医院学术委员会审议通过：</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1.</w:t>
            </w:r>
            <w:r w:rsidRPr="009F6E89">
              <w:rPr>
                <w:rFonts w:ascii="宋体" w:eastAsia="宋体" w:hAnsi="宋体" w:cs="宋体" w:hint="eastAsia"/>
                <w:color w:val="333333"/>
                <w:kern w:val="0"/>
                <w:sz w:val="20"/>
                <w:szCs w:val="20"/>
              </w:rPr>
              <w:t> </w:t>
            </w:r>
            <w:r w:rsidRPr="009F6E89">
              <w:rPr>
                <w:rFonts w:ascii="黑体" w:eastAsia="黑体" w:hAnsi="黑体" w:cs="宋体" w:hint="eastAsia"/>
                <w:color w:val="333333"/>
                <w:kern w:val="0"/>
                <w:sz w:val="20"/>
                <w:szCs w:val="20"/>
              </w:rPr>
              <w:t>“国家重点人才工程”项目青年人才入选者；</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2.以第一作者或通讯作者发表SCI 收录期刊的原创性研究论文影响</w:t>
            </w:r>
            <w:r w:rsidRPr="009F6E89">
              <w:rPr>
                <w:rFonts w:ascii="黑体" w:eastAsia="黑体" w:hAnsi="黑体" w:cs="宋体" w:hint="eastAsia"/>
                <w:color w:val="333333"/>
                <w:kern w:val="0"/>
                <w:sz w:val="20"/>
                <w:szCs w:val="20"/>
              </w:rPr>
              <w:lastRenderedPageBreak/>
              <w:t>因子累计50分或单篇20分及以上的海内外优秀人才；</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3.中华医学会或中国医师协会国家级相应专业一级分会的青年副主任委员以上职务，且以第一作者或通讯作者发表SCI 收录期刊的原创性研究论文影响因子累计30分或单篇10分及以上的临床医技专家；</w:t>
            </w:r>
          </w:p>
          <w:p w:rsidR="009F6E89" w:rsidRPr="009F6E89" w:rsidRDefault="009F6E89" w:rsidP="009F6E89">
            <w:pPr>
              <w:widowControl/>
              <w:jc w:val="left"/>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4.全国或市级中医药专家学术经验继承工作继承人；</w:t>
            </w:r>
          </w:p>
          <w:p w:rsidR="009F6E89" w:rsidRPr="009F6E89" w:rsidRDefault="009F6E89" w:rsidP="009F6E89">
            <w:pPr>
              <w:widowControl/>
              <w:textAlignment w:val="center"/>
              <w:rPr>
                <w:rFonts w:ascii="宋体" w:eastAsia="宋体" w:hAnsi="宋体" w:cs="宋体"/>
                <w:color w:val="333333"/>
                <w:kern w:val="0"/>
                <w:sz w:val="24"/>
                <w:szCs w:val="24"/>
              </w:rPr>
            </w:pPr>
            <w:r w:rsidRPr="009F6E89">
              <w:rPr>
                <w:rFonts w:ascii="黑体" w:eastAsia="黑体" w:hAnsi="黑体" w:cs="宋体" w:hint="eastAsia"/>
                <w:color w:val="333333"/>
                <w:kern w:val="0"/>
                <w:sz w:val="20"/>
                <w:szCs w:val="20"/>
              </w:rPr>
              <w:t>5.经评定具有相当水平的专家。</w:t>
            </w:r>
          </w:p>
        </w:tc>
      </w:tr>
    </w:tbl>
    <w:p w:rsidR="00B5311D" w:rsidRPr="009F6E89" w:rsidRDefault="00B5311D"/>
    <w:sectPr w:rsidR="00B5311D" w:rsidRPr="009F6E89" w:rsidSect="009F6E8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A5" w:rsidRDefault="008A18A5" w:rsidP="009F6E89">
      <w:r>
        <w:separator/>
      </w:r>
    </w:p>
  </w:endnote>
  <w:endnote w:type="continuationSeparator" w:id="0">
    <w:p w:rsidR="008A18A5" w:rsidRDefault="008A18A5" w:rsidP="009F6E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A5" w:rsidRDefault="008A18A5" w:rsidP="009F6E89">
      <w:r>
        <w:separator/>
      </w:r>
    </w:p>
  </w:footnote>
  <w:footnote w:type="continuationSeparator" w:id="0">
    <w:p w:rsidR="008A18A5" w:rsidRDefault="008A18A5" w:rsidP="009F6E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6E89"/>
    <w:rsid w:val="00020D22"/>
    <w:rsid w:val="00023ACF"/>
    <w:rsid w:val="00033823"/>
    <w:rsid w:val="000420A8"/>
    <w:rsid w:val="00064113"/>
    <w:rsid w:val="000837B2"/>
    <w:rsid w:val="00093630"/>
    <w:rsid w:val="000B2112"/>
    <w:rsid w:val="000C5DE8"/>
    <w:rsid w:val="000C67BD"/>
    <w:rsid w:val="000D6B97"/>
    <w:rsid w:val="000E0DBA"/>
    <w:rsid w:val="000F06BF"/>
    <w:rsid w:val="00110331"/>
    <w:rsid w:val="001419DD"/>
    <w:rsid w:val="00160249"/>
    <w:rsid w:val="001651A4"/>
    <w:rsid w:val="00180C08"/>
    <w:rsid w:val="00184A4B"/>
    <w:rsid w:val="00196B56"/>
    <w:rsid w:val="001B2743"/>
    <w:rsid w:val="001C1F54"/>
    <w:rsid w:val="001C2E90"/>
    <w:rsid w:val="001C4C3D"/>
    <w:rsid w:val="001C6D76"/>
    <w:rsid w:val="001C79F2"/>
    <w:rsid w:val="001D1437"/>
    <w:rsid w:val="001D24F9"/>
    <w:rsid w:val="001D4143"/>
    <w:rsid w:val="001D5C0B"/>
    <w:rsid w:val="001F579C"/>
    <w:rsid w:val="00223384"/>
    <w:rsid w:val="002233A4"/>
    <w:rsid w:val="00251F82"/>
    <w:rsid w:val="002636EA"/>
    <w:rsid w:val="002659DB"/>
    <w:rsid w:val="00275A52"/>
    <w:rsid w:val="00280805"/>
    <w:rsid w:val="00290158"/>
    <w:rsid w:val="002905FD"/>
    <w:rsid w:val="002A0B5B"/>
    <w:rsid w:val="002B21C5"/>
    <w:rsid w:val="002D2AFF"/>
    <w:rsid w:val="002D3313"/>
    <w:rsid w:val="002E519D"/>
    <w:rsid w:val="002F7E9E"/>
    <w:rsid w:val="003026B4"/>
    <w:rsid w:val="00306800"/>
    <w:rsid w:val="00312577"/>
    <w:rsid w:val="003371A4"/>
    <w:rsid w:val="00356C83"/>
    <w:rsid w:val="003632D8"/>
    <w:rsid w:val="0036692D"/>
    <w:rsid w:val="00383251"/>
    <w:rsid w:val="0038745C"/>
    <w:rsid w:val="003B13B0"/>
    <w:rsid w:val="003B405F"/>
    <w:rsid w:val="003C7462"/>
    <w:rsid w:val="003C748E"/>
    <w:rsid w:val="003E0805"/>
    <w:rsid w:val="003E62C8"/>
    <w:rsid w:val="003E62DF"/>
    <w:rsid w:val="003F25BE"/>
    <w:rsid w:val="003F4DF7"/>
    <w:rsid w:val="00444E90"/>
    <w:rsid w:val="004462F3"/>
    <w:rsid w:val="00472568"/>
    <w:rsid w:val="0047463A"/>
    <w:rsid w:val="00486C4B"/>
    <w:rsid w:val="004950DB"/>
    <w:rsid w:val="00497419"/>
    <w:rsid w:val="004A38C8"/>
    <w:rsid w:val="004A5003"/>
    <w:rsid w:val="004B0536"/>
    <w:rsid w:val="004B10EE"/>
    <w:rsid w:val="004C229A"/>
    <w:rsid w:val="004C42B2"/>
    <w:rsid w:val="004E0F05"/>
    <w:rsid w:val="004E1D10"/>
    <w:rsid w:val="004E2408"/>
    <w:rsid w:val="004E31FD"/>
    <w:rsid w:val="004E4319"/>
    <w:rsid w:val="004F6ED4"/>
    <w:rsid w:val="005013FF"/>
    <w:rsid w:val="00513D7A"/>
    <w:rsid w:val="00514879"/>
    <w:rsid w:val="00526144"/>
    <w:rsid w:val="00546924"/>
    <w:rsid w:val="0055362F"/>
    <w:rsid w:val="0055766D"/>
    <w:rsid w:val="00564393"/>
    <w:rsid w:val="00591709"/>
    <w:rsid w:val="00597E48"/>
    <w:rsid w:val="005B61E6"/>
    <w:rsid w:val="005E1480"/>
    <w:rsid w:val="005E1FCB"/>
    <w:rsid w:val="005E39B3"/>
    <w:rsid w:val="005E4D68"/>
    <w:rsid w:val="005E610C"/>
    <w:rsid w:val="005E72F3"/>
    <w:rsid w:val="005F21DA"/>
    <w:rsid w:val="005F4D43"/>
    <w:rsid w:val="00606EED"/>
    <w:rsid w:val="00612A7D"/>
    <w:rsid w:val="0061356E"/>
    <w:rsid w:val="0062307D"/>
    <w:rsid w:val="00626F11"/>
    <w:rsid w:val="00635771"/>
    <w:rsid w:val="00662DAC"/>
    <w:rsid w:val="00677497"/>
    <w:rsid w:val="00680690"/>
    <w:rsid w:val="0068187B"/>
    <w:rsid w:val="00682631"/>
    <w:rsid w:val="00692A54"/>
    <w:rsid w:val="006960B0"/>
    <w:rsid w:val="006A2535"/>
    <w:rsid w:val="006B4AFD"/>
    <w:rsid w:val="006C5035"/>
    <w:rsid w:val="006D15E1"/>
    <w:rsid w:val="006D6F92"/>
    <w:rsid w:val="006E1D7C"/>
    <w:rsid w:val="0070178C"/>
    <w:rsid w:val="00703FB3"/>
    <w:rsid w:val="00712C23"/>
    <w:rsid w:val="00715AAE"/>
    <w:rsid w:val="00720FAF"/>
    <w:rsid w:val="0072225D"/>
    <w:rsid w:val="0072663D"/>
    <w:rsid w:val="0072738F"/>
    <w:rsid w:val="007422EE"/>
    <w:rsid w:val="00746900"/>
    <w:rsid w:val="007559C3"/>
    <w:rsid w:val="00757542"/>
    <w:rsid w:val="0078275C"/>
    <w:rsid w:val="0079115B"/>
    <w:rsid w:val="0079128F"/>
    <w:rsid w:val="00797430"/>
    <w:rsid w:val="007975A2"/>
    <w:rsid w:val="007B27D3"/>
    <w:rsid w:val="007B31FE"/>
    <w:rsid w:val="007B3C3C"/>
    <w:rsid w:val="007C1458"/>
    <w:rsid w:val="007C1E19"/>
    <w:rsid w:val="007C1FC5"/>
    <w:rsid w:val="007C2CCF"/>
    <w:rsid w:val="007D4D2E"/>
    <w:rsid w:val="008011E7"/>
    <w:rsid w:val="00810147"/>
    <w:rsid w:val="00822598"/>
    <w:rsid w:val="00823E9E"/>
    <w:rsid w:val="00834A8E"/>
    <w:rsid w:val="00835F72"/>
    <w:rsid w:val="008369B8"/>
    <w:rsid w:val="00844CAB"/>
    <w:rsid w:val="00864532"/>
    <w:rsid w:val="0088773B"/>
    <w:rsid w:val="008A0075"/>
    <w:rsid w:val="008A18A5"/>
    <w:rsid w:val="008B7CF7"/>
    <w:rsid w:val="008D6832"/>
    <w:rsid w:val="008D6BCE"/>
    <w:rsid w:val="008F7FA4"/>
    <w:rsid w:val="00900279"/>
    <w:rsid w:val="00902AC8"/>
    <w:rsid w:val="009134C0"/>
    <w:rsid w:val="00942F10"/>
    <w:rsid w:val="00952B57"/>
    <w:rsid w:val="00980365"/>
    <w:rsid w:val="00982124"/>
    <w:rsid w:val="009929A0"/>
    <w:rsid w:val="009929CF"/>
    <w:rsid w:val="009A2232"/>
    <w:rsid w:val="009C2B6A"/>
    <w:rsid w:val="009F6E89"/>
    <w:rsid w:val="00A04718"/>
    <w:rsid w:val="00A101B6"/>
    <w:rsid w:val="00A25226"/>
    <w:rsid w:val="00A55FAB"/>
    <w:rsid w:val="00A67D0F"/>
    <w:rsid w:val="00A70204"/>
    <w:rsid w:val="00A7112D"/>
    <w:rsid w:val="00A76509"/>
    <w:rsid w:val="00A82D6B"/>
    <w:rsid w:val="00A93BC7"/>
    <w:rsid w:val="00A964C4"/>
    <w:rsid w:val="00AB2375"/>
    <w:rsid w:val="00AB249C"/>
    <w:rsid w:val="00AB504B"/>
    <w:rsid w:val="00AC38D2"/>
    <w:rsid w:val="00AC658A"/>
    <w:rsid w:val="00AC663C"/>
    <w:rsid w:val="00AE4CEF"/>
    <w:rsid w:val="00AE512C"/>
    <w:rsid w:val="00AE5FDA"/>
    <w:rsid w:val="00AF4E6D"/>
    <w:rsid w:val="00B0244D"/>
    <w:rsid w:val="00B069F0"/>
    <w:rsid w:val="00B2199E"/>
    <w:rsid w:val="00B47FC5"/>
    <w:rsid w:val="00B5311D"/>
    <w:rsid w:val="00B5394A"/>
    <w:rsid w:val="00B549D9"/>
    <w:rsid w:val="00B600A8"/>
    <w:rsid w:val="00B61480"/>
    <w:rsid w:val="00B76CCA"/>
    <w:rsid w:val="00B82B7C"/>
    <w:rsid w:val="00B85005"/>
    <w:rsid w:val="00B9322C"/>
    <w:rsid w:val="00BB1452"/>
    <w:rsid w:val="00BC3897"/>
    <w:rsid w:val="00BC3906"/>
    <w:rsid w:val="00BD150C"/>
    <w:rsid w:val="00BD70D2"/>
    <w:rsid w:val="00BE0828"/>
    <w:rsid w:val="00BE6A3B"/>
    <w:rsid w:val="00BF6D19"/>
    <w:rsid w:val="00C1009A"/>
    <w:rsid w:val="00C12642"/>
    <w:rsid w:val="00C32774"/>
    <w:rsid w:val="00C407F5"/>
    <w:rsid w:val="00C6184C"/>
    <w:rsid w:val="00C65C85"/>
    <w:rsid w:val="00C70CC1"/>
    <w:rsid w:val="00C803DE"/>
    <w:rsid w:val="00C91344"/>
    <w:rsid w:val="00CA365F"/>
    <w:rsid w:val="00CA4B29"/>
    <w:rsid w:val="00CD1F77"/>
    <w:rsid w:val="00CD3E2B"/>
    <w:rsid w:val="00CD4772"/>
    <w:rsid w:val="00CE2455"/>
    <w:rsid w:val="00CF22CF"/>
    <w:rsid w:val="00CF4864"/>
    <w:rsid w:val="00CF4C7B"/>
    <w:rsid w:val="00D11D94"/>
    <w:rsid w:val="00D24223"/>
    <w:rsid w:val="00D253CB"/>
    <w:rsid w:val="00D27F31"/>
    <w:rsid w:val="00D65877"/>
    <w:rsid w:val="00D701B8"/>
    <w:rsid w:val="00D751E2"/>
    <w:rsid w:val="00D864B1"/>
    <w:rsid w:val="00D94441"/>
    <w:rsid w:val="00DA5F66"/>
    <w:rsid w:val="00DA6136"/>
    <w:rsid w:val="00DD022F"/>
    <w:rsid w:val="00DD0F73"/>
    <w:rsid w:val="00DD2DAC"/>
    <w:rsid w:val="00DD4E94"/>
    <w:rsid w:val="00DE050E"/>
    <w:rsid w:val="00DE269D"/>
    <w:rsid w:val="00E11EA1"/>
    <w:rsid w:val="00E12843"/>
    <w:rsid w:val="00E15BC6"/>
    <w:rsid w:val="00E213BE"/>
    <w:rsid w:val="00E27F74"/>
    <w:rsid w:val="00E30C9E"/>
    <w:rsid w:val="00E337EF"/>
    <w:rsid w:val="00E37595"/>
    <w:rsid w:val="00E43AC5"/>
    <w:rsid w:val="00E455F4"/>
    <w:rsid w:val="00E512E8"/>
    <w:rsid w:val="00E53D1F"/>
    <w:rsid w:val="00E74064"/>
    <w:rsid w:val="00E84173"/>
    <w:rsid w:val="00E87578"/>
    <w:rsid w:val="00E91D0B"/>
    <w:rsid w:val="00E96AB6"/>
    <w:rsid w:val="00EA7365"/>
    <w:rsid w:val="00EB727E"/>
    <w:rsid w:val="00ED7FFC"/>
    <w:rsid w:val="00EE4638"/>
    <w:rsid w:val="00F2463D"/>
    <w:rsid w:val="00F24A13"/>
    <w:rsid w:val="00F40B6C"/>
    <w:rsid w:val="00F42053"/>
    <w:rsid w:val="00F6261D"/>
    <w:rsid w:val="00F756C7"/>
    <w:rsid w:val="00F84266"/>
    <w:rsid w:val="00F90192"/>
    <w:rsid w:val="00F96507"/>
    <w:rsid w:val="00FA5162"/>
    <w:rsid w:val="00FC4966"/>
    <w:rsid w:val="00FC7D27"/>
    <w:rsid w:val="00FD3AC1"/>
    <w:rsid w:val="00FD5F5D"/>
    <w:rsid w:val="00FE0077"/>
    <w:rsid w:val="00FE545A"/>
    <w:rsid w:val="00FF56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6E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6E89"/>
    <w:rPr>
      <w:sz w:val="18"/>
      <w:szCs w:val="18"/>
    </w:rPr>
  </w:style>
  <w:style w:type="paragraph" w:styleId="a4">
    <w:name w:val="footer"/>
    <w:basedOn w:val="a"/>
    <w:link w:val="Char0"/>
    <w:uiPriority w:val="99"/>
    <w:semiHidden/>
    <w:unhideWhenUsed/>
    <w:rsid w:val="009F6E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6E89"/>
    <w:rPr>
      <w:sz w:val="18"/>
      <w:szCs w:val="18"/>
    </w:rPr>
  </w:style>
  <w:style w:type="paragraph" w:styleId="a5">
    <w:name w:val="Plain Text"/>
    <w:basedOn w:val="a"/>
    <w:link w:val="Char1"/>
    <w:uiPriority w:val="99"/>
    <w:semiHidden/>
    <w:unhideWhenUsed/>
    <w:rsid w:val="009F6E89"/>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5"/>
    <w:uiPriority w:val="99"/>
    <w:semiHidden/>
    <w:rsid w:val="009F6E89"/>
    <w:rPr>
      <w:rFonts w:ascii="宋体" w:eastAsia="宋体" w:hAnsi="宋体" w:cs="宋体"/>
      <w:kern w:val="0"/>
      <w:sz w:val="24"/>
      <w:szCs w:val="24"/>
    </w:rPr>
  </w:style>
  <w:style w:type="paragraph" w:customStyle="1" w:styleId="p">
    <w:name w:val="p"/>
    <w:basedOn w:val="a"/>
    <w:rsid w:val="009F6E89"/>
    <w:pPr>
      <w:widowControl/>
      <w:spacing w:before="100" w:beforeAutospacing="1" w:after="100" w:afterAutospacing="1"/>
      <w:jc w:val="left"/>
    </w:pPr>
    <w:rPr>
      <w:rFonts w:ascii="宋体" w:eastAsia="宋体" w:hAnsi="宋体" w:cs="宋体"/>
      <w:kern w:val="0"/>
      <w:sz w:val="24"/>
      <w:szCs w:val="24"/>
    </w:rPr>
  </w:style>
  <w:style w:type="paragraph" w:styleId="9">
    <w:name w:val="index 9"/>
    <w:basedOn w:val="a"/>
    <w:autoRedefine/>
    <w:uiPriority w:val="99"/>
    <w:semiHidden/>
    <w:unhideWhenUsed/>
    <w:rsid w:val="009F6E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364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65F7A-A963-43D1-A44F-07384333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1766</Characters>
  <Application>Microsoft Office Word</Application>
  <DocSecurity>0</DocSecurity>
  <Lines>14</Lines>
  <Paragraphs>4</Paragraphs>
  <ScaleCrop>false</ScaleCrop>
  <Company>P R C</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李泽超</dc:creator>
  <cp:keywords/>
  <dc:description/>
  <cp:lastModifiedBy>李泽超</cp:lastModifiedBy>
  <cp:revision>2</cp:revision>
  <dcterms:created xsi:type="dcterms:W3CDTF">2024-07-08T03:59:00Z</dcterms:created>
  <dcterms:modified xsi:type="dcterms:W3CDTF">2024-07-08T04:00:00Z</dcterms:modified>
</cp:coreProperties>
</file>